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sz w:val="84"/>
          <w:szCs w:val="84"/>
        </w:rPr>
      </w:pPr>
      <w:r>
        <w:rPr>
          <w:rFonts w:hint="eastAsia"/>
          <w:sz w:val="84"/>
          <w:szCs w:val="84"/>
          <w:lang w:val="en-US" w:eastAsia="zh-CN"/>
        </w:rPr>
        <w:t>湖南省水利水电科学研究院单位</w:t>
      </w:r>
      <w:r>
        <w:rPr>
          <w:rFonts w:hint="eastAsia"/>
          <w:sz w:val="84"/>
          <w:szCs w:val="84"/>
        </w:rPr>
        <w:t>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湖南省水利水电科学研究院</w:t>
      </w:r>
      <w:r>
        <w:rPr>
          <w:rFonts w:hint="eastAsia"/>
          <w:b/>
          <w:sz w:val="28"/>
          <w:szCs w:val="28"/>
        </w:rPr>
        <w:t>单位概况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w:t>
      </w:r>
      <w:r>
        <w:rPr>
          <w:rFonts w:hint="eastAsia" w:cs="仿宋_GB2312" w:asciiTheme="minorEastAsia" w:hAnsiTheme="minorEastAsia" w:eastAsiaTheme="minorEastAsia"/>
          <w:sz w:val="28"/>
          <w:szCs w:val="28"/>
          <w:lang w:eastAsia="zh-CN"/>
        </w:rPr>
        <w:t>单位</w:t>
      </w:r>
      <w:r>
        <w:rPr>
          <w:rFonts w:cs="仿宋_GB2312" w:asciiTheme="minorEastAsia" w:hAnsiTheme="minorEastAsia" w:eastAsiaTheme="minorEastAsia"/>
          <w:sz w:val="28"/>
          <w:szCs w:val="28"/>
        </w:rPr>
        <w:t>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w:t>
      </w:r>
      <w:r>
        <w:rPr>
          <w:rFonts w:hint="eastAsia" w:hAnsi="仿宋_GB2312"/>
          <w:b/>
          <w:sz w:val="28"/>
          <w:szCs w:val="28"/>
          <w:lang w:val="en-US" w:eastAsia="zh-CN"/>
        </w:rPr>
        <w:t>单位</w:t>
      </w:r>
      <w:r>
        <w:rPr>
          <w:rFonts w:hint="eastAsia" w:hAnsi="仿宋_GB2312"/>
          <w:b/>
          <w:sz w:val="28"/>
          <w:szCs w:val="28"/>
        </w:rPr>
        <w:t>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w:t>
      </w:r>
      <w:r>
        <w:rPr>
          <w:rFonts w:hint="eastAsia" w:hAnsi="仿宋_GB2312"/>
          <w:b/>
          <w:sz w:val="28"/>
          <w:szCs w:val="28"/>
          <w:lang w:val="en-US" w:eastAsia="zh-CN"/>
        </w:rPr>
        <w:t>单位</w:t>
      </w:r>
      <w:r>
        <w:rPr>
          <w:rFonts w:hint="eastAsia" w:hAnsi="仿宋_GB2312"/>
          <w:b/>
          <w:sz w:val="28"/>
          <w:szCs w:val="28"/>
        </w:rPr>
        <w:t>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rPr>
          <w:rFonts w:hint="eastAsia"/>
          <w:sz w:val="84"/>
          <w:szCs w:val="84"/>
        </w:rPr>
      </w:pPr>
      <w:r>
        <w:rPr>
          <w:rFonts w:hint="eastAsia"/>
          <w:sz w:val="84"/>
          <w:szCs w:val="84"/>
        </w:rPr>
        <w:br w:type="page"/>
      </w:r>
    </w:p>
    <w:p>
      <w:pPr>
        <w:pStyle w:val="9"/>
        <w:jc w:val="center"/>
        <w:rPr>
          <w:rFonts w:hint="eastAsia"/>
          <w:sz w:val="84"/>
          <w:szCs w:val="84"/>
        </w:rPr>
      </w:pPr>
    </w:p>
    <w:p>
      <w:pPr>
        <w:pStyle w:val="9"/>
        <w:jc w:val="center"/>
        <w:rPr>
          <w:rFonts w:hint="eastAsia"/>
          <w:sz w:val="84"/>
          <w:szCs w:val="84"/>
        </w:rPr>
      </w:pPr>
    </w:p>
    <w:p>
      <w:pPr>
        <w:pStyle w:val="9"/>
        <w:jc w:val="center"/>
        <w:rPr>
          <w:rFonts w:hint="eastAsia"/>
          <w:sz w:val="84"/>
          <w:szCs w:val="84"/>
        </w:rPr>
      </w:pPr>
    </w:p>
    <w:p>
      <w:pPr>
        <w:pStyle w:val="9"/>
        <w:jc w:val="center"/>
        <w:rPr>
          <w:sz w:val="84"/>
          <w:szCs w:val="84"/>
        </w:rPr>
      </w:pPr>
      <w:r>
        <w:rPr>
          <w:rFonts w:hint="eastAsia"/>
          <w:sz w:val="84"/>
          <w:szCs w:val="84"/>
        </w:rPr>
        <w:t>第一部分</w:t>
      </w:r>
      <w:r>
        <w:rPr>
          <w:sz w:val="84"/>
          <w:szCs w:val="84"/>
        </w:rPr>
        <w:t xml:space="preserve"> </w:t>
      </w:r>
    </w:p>
    <w:p>
      <w:pPr>
        <w:pStyle w:val="9"/>
        <w:jc w:val="center"/>
        <w:rPr>
          <w:sz w:val="84"/>
          <w:szCs w:val="84"/>
        </w:rPr>
      </w:pPr>
    </w:p>
    <w:p>
      <w:pPr>
        <w:pStyle w:val="9"/>
        <w:jc w:val="center"/>
        <w:rPr>
          <w:sz w:val="84"/>
          <w:szCs w:val="84"/>
        </w:rPr>
      </w:pPr>
      <w:r>
        <w:rPr>
          <w:rFonts w:hint="eastAsia"/>
          <w:sz w:val="84"/>
          <w:szCs w:val="84"/>
          <w:lang w:val="en-US" w:eastAsia="zh-CN"/>
        </w:rPr>
        <w:t>湖南省水利水电科学研究院</w:t>
      </w:r>
      <w:r>
        <w:rPr>
          <w:rFonts w:hint="eastAsia"/>
          <w:sz w:val="84"/>
          <w:szCs w:val="84"/>
        </w:rPr>
        <w:t>单位概况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ascii="黑体" w:hAnsi="黑体" w:eastAsia="黑体"/>
          <w:sz w:val="32"/>
          <w:szCs w:val="32"/>
        </w:rPr>
      </w:pPr>
      <w:r>
        <w:rPr>
          <w:rFonts w:ascii="黑体" w:hAnsi="黑体" w:eastAsia="黑体"/>
          <w:sz w:val="32"/>
          <w:szCs w:val="32"/>
        </w:rPr>
        <w:br w:type="page"/>
      </w:r>
    </w:p>
    <w:p>
      <w:pPr>
        <w:pStyle w:val="10"/>
        <w:numPr>
          <w:ilvl w:val="0"/>
          <w:numId w:val="1"/>
        </w:numPr>
        <w:ind w:firstLineChars="0"/>
        <w:jc w:val="left"/>
        <w:rPr>
          <w:rFonts w:ascii="黑体" w:hAnsi="黑体" w:eastAsia="黑体"/>
          <w:sz w:val="32"/>
          <w:szCs w:val="32"/>
        </w:rPr>
      </w:pPr>
      <w:r>
        <w:rPr>
          <w:rFonts w:hint="eastAsia" w:ascii="黑体" w:hAnsi="黑体" w:eastAsia="黑体"/>
          <w:sz w:val="32"/>
          <w:szCs w:val="32"/>
          <w:lang w:eastAsia="zh-CN"/>
        </w:rPr>
        <w:t>单位</w:t>
      </w:r>
      <w:r>
        <w:rPr>
          <w:rFonts w:ascii="黑体" w:hAnsi="黑体" w:eastAsia="黑体"/>
          <w:sz w:val="32"/>
          <w:szCs w:val="32"/>
        </w:rPr>
        <w:t>职责</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 xml:space="preserve">（一）承担水利水电基础性科学技术研究工作； </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 xml:space="preserve">（二）承担水利水电工程新技术、新材料和新工艺等方面的研究与推广应用工作； </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 xml:space="preserve">（三）承担灌溉试验研究和技术指导工作； </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 xml:space="preserve">（四）开展水资源保护与管理、水库大坝运行管理安全监测和安全评价等技术服务工作； </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（五）开展水利水电基础性科学技术研究及工程建设相关的技术咨询工作；</w:t>
      </w:r>
    </w:p>
    <w:p>
      <w:pPr>
        <w:ind w:firstLine="800" w:firstLineChars="250"/>
        <w:jc w:val="left"/>
        <w:rPr>
          <w:rFonts w:hint="eastAsia" w:asciiTheme="minorEastAsia" w:hAnsiTheme="minorEastAsia"/>
          <w:sz w:val="32"/>
          <w:szCs w:val="32"/>
        </w:rPr>
      </w:pPr>
      <w:r>
        <w:rPr>
          <w:rFonts w:hint="eastAsia" w:asciiTheme="minorEastAsia" w:hAnsiTheme="minorEastAsia"/>
          <w:sz w:val="32"/>
          <w:szCs w:val="32"/>
          <w:lang w:val="en-US" w:eastAsia="zh-CN"/>
        </w:rPr>
        <w:t>（六）承担水利厅交办的其他工作。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800" w:firstLineChars="250"/>
        <w:jc w:val="left"/>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一）内设机构设置。本单位内设机构包括：办公室、党务人事部、财务部、科研生产管理部4个职能部门；大坝安全监测中心、水资源研究中心、灌溉试验中心、水土保持与生态水利研究所、防灾减灾研究所、水利发展规划研究所、河流泥沙研究所、检测试验中心（水利科技推广中心）8个科研部门。</w:t>
      </w:r>
    </w:p>
    <w:p>
      <w:pPr>
        <w:ind w:firstLine="800" w:firstLineChars="250"/>
        <w:jc w:val="left"/>
        <w:rPr>
          <w:rFonts w:hint="eastAsia" w:asciiTheme="minorEastAsia" w:hAnsiTheme="minorEastAsia"/>
          <w:sz w:val="32"/>
          <w:szCs w:val="32"/>
          <w:lang w:val="en-US" w:eastAsia="zh-CN"/>
        </w:rPr>
      </w:pPr>
      <w:r>
        <w:rPr>
          <w:rFonts w:hint="eastAsia" w:asciiTheme="minorEastAsia" w:hAnsiTheme="minorEastAsia"/>
          <w:sz w:val="32"/>
          <w:szCs w:val="32"/>
          <w:lang w:val="en-US" w:eastAsia="zh-CN"/>
        </w:rPr>
        <w:t>（二）决算单位构成。2021年度单位决算汇总公开单位包括湖南省水利水电科学研究院本级，无下属单位。</w:t>
      </w: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9"/>
        <w:jc w:val="center"/>
        <w:rPr>
          <w:rFonts w:hint="eastAsia"/>
          <w:sz w:val="72"/>
          <w:szCs w:val="72"/>
        </w:rPr>
      </w:pPr>
      <w:r>
        <w:rPr>
          <w:rFonts w:hint="eastAsia"/>
          <w:sz w:val="72"/>
          <w:szCs w:val="72"/>
        </w:rPr>
        <w:t>第二部分</w:t>
      </w:r>
    </w:p>
    <w:p>
      <w:pPr>
        <w:jc w:val="center"/>
        <w:rPr>
          <w:sz w:val="72"/>
          <w:szCs w:val="72"/>
        </w:rPr>
      </w:pPr>
    </w:p>
    <w:p>
      <w:pPr>
        <w:jc w:val="center"/>
        <w:rPr>
          <w:rFonts w:hint="eastAsia" w:ascii="黑体" w:eastAsia="黑体" w:cs="黑体" w:hAnsiTheme="minorHAnsi"/>
          <w:color w:val="000000"/>
          <w:kern w:val="0"/>
          <w:sz w:val="70"/>
          <w:szCs w:val="70"/>
          <w:lang w:val="en-US" w:eastAsia="zh-CN" w:bidi="ar-SA"/>
        </w:rPr>
      </w:pPr>
      <w:r>
        <w:rPr>
          <w:rFonts w:hint="eastAsia" w:ascii="黑体" w:eastAsia="黑体" w:cs="黑体"/>
          <w:color w:val="000000"/>
          <w:kern w:val="0"/>
          <w:sz w:val="70"/>
          <w:szCs w:val="70"/>
          <w:lang w:val="en-US" w:eastAsia="zh-CN" w:bidi="ar-SA"/>
        </w:rPr>
        <w:t>单位</w:t>
      </w:r>
      <w:r>
        <w:rPr>
          <w:rFonts w:hint="eastAsia" w:ascii="黑体" w:eastAsia="黑体" w:cs="黑体" w:hAnsiTheme="minorHAnsi"/>
          <w:color w:val="000000"/>
          <w:kern w:val="0"/>
          <w:sz w:val="70"/>
          <w:szCs w:val="70"/>
          <w:lang w:val="en-US" w:eastAsia="zh-CN" w:bidi="ar-SA"/>
        </w:rPr>
        <w:t>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pPr>
    </w:p>
    <w:p>
      <w:pPr>
        <w:jc w:val="left"/>
        <w:rPr>
          <w:rFonts w:asciiTheme="minorEastAsia" w:hAnsiTheme="minorEastAsia"/>
          <w:sz w:val="32"/>
          <w:szCs w:val="32"/>
        </w:rPr>
      </w:pPr>
    </w:p>
    <w:p>
      <w:pPr>
        <w:jc w:val="left"/>
        <w:rPr>
          <w:rFonts w:asciiTheme="minorEastAsia" w:hAnsiTheme="minorEastAsia"/>
          <w:sz w:val="32"/>
          <w:szCs w:val="32"/>
        </w:rPr>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p>
    <w:tbl>
      <w:tblPr>
        <w:tblStyle w:val="6"/>
        <w:tblW w:w="14081" w:type="dxa"/>
        <w:tblInd w:w="93" w:type="dxa"/>
        <w:tblLayout w:type="fixed"/>
        <w:tblCellMar>
          <w:top w:w="0" w:type="dxa"/>
          <w:left w:w="108" w:type="dxa"/>
          <w:bottom w:w="0" w:type="dxa"/>
          <w:right w:w="108" w:type="dxa"/>
        </w:tblCellMar>
      </w:tblPr>
      <w:tblGrid>
        <w:gridCol w:w="4126"/>
        <w:gridCol w:w="682"/>
        <w:gridCol w:w="398"/>
        <w:gridCol w:w="697"/>
        <w:gridCol w:w="232"/>
        <w:gridCol w:w="1137"/>
        <w:gridCol w:w="3739"/>
        <w:gridCol w:w="761"/>
        <w:gridCol w:w="136"/>
        <w:gridCol w:w="657"/>
        <w:gridCol w:w="1516"/>
      </w:tblGrid>
      <w:tr>
        <w:tblPrEx>
          <w:tblLayout w:type="fixed"/>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vAlign w:val="center"/>
          </w:tcPr>
          <w:p>
            <w:pPr>
              <w:widowControl/>
              <w:jc w:val="center"/>
              <w:rPr>
                <w:rFonts w:ascii="华文中宋" w:hAnsi="华文中宋" w:eastAsia="华文中宋" w:cs="宋体"/>
                <w:color w:val="000000"/>
                <w:kern w:val="0"/>
                <w:sz w:val="32"/>
                <w:szCs w:val="32"/>
              </w:rPr>
            </w:pPr>
            <w:r>
              <w:rPr>
                <w:rFonts w:hint="eastAsia" w:ascii="黑体" w:hAnsi="宋体" w:eastAsia="黑体" w:cs="黑体"/>
                <w:i w:val="0"/>
                <w:iCs w:val="0"/>
                <w:color w:val="000000"/>
                <w:kern w:val="0"/>
                <w:sz w:val="30"/>
                <w:szCs w:val="30"/>
                <w:u w:val="none"/>
                <w:lang w:val="en-US" w:eastAsia="zh-CN" w:bidi="ar"/>
              </w:rPr>
              <w:t>收入支出决算总表</w:t>
            </w:r>
          </w:p>
        </w:tc>
      </w:tr>
      <w:tr>
        <w:tblPrEx>
          <w:tblLayout w:type="fixed"/>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Layout w:type="fixed"/>
          <w:tblCellMar>
            <w:top w:w="0" w:type="dxa"/>
            <w:left w:w="108" w:type="dxa"/>
            <w:bottom w:w="0" w:type="dxa"/>
            <w:right w:w="108" w:type="dxa"/>
          </w:tblCellMar>
        </w:tblPrEx>
        <w:trPr>
          <w:trHeight w:val="300" w:hRule="atLeast"/>
        </w:trPr>
        <w:tc>
          <w:tcPr>
            <w:tcW w:w="5206" w:type="dxa"/>
            <w:gridSpan w:val="3"/>
            <w:tcBorders>
              <w:top w:val="nil"/>
              <w:left w:val="nil"/>
              <w:bottom w:val="single" w:color="auto" w:sz="6" w:space="0"/>
              <w:right w:val="nil"/>
            </w:tcBorders>
            <w:shd w:val="clear" w:color="000000" w:fill="FFFFFF"/>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湖南省水利水电科学研究院</w:t>
            </w:r>
          </w:p>
        </w:tc>
        <w:tc>
          <w:tcPr>
            <w:tcW w:w="697" w:type="dxa"/>
            <w:tcBorders>
              <w:top w:val="nil"/>
              <w:left w:val="nil"/>
              <w:bottom w:val="single" w:color="auto" w:sz="6"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single" w:color="auto" w:sz="6"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single" w:color="auto" w:sz="6" w:space="0"/>
              <w:right w:val="nil"/>
            </w:tcBorders>
            <w:shd w:val="clear" w:color="000000" w:fill="FFFFFF"/>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lang w:val="en-US" w:eastAsia="zh-CN"/>
              </w:rPr>
              <w:t>2021年度</w:t>
            </w:r>
            <w:r>
              <w:rPr>
                <w:rFonts w:hint="eastAsia" w:ascii="宋体" w:hAnsi="宋体" w:eastAsia="宋体" w:cs="宋体"/>
                <w:kern w:val="0"/>
                <w:sz w:val="24"/>
                <w:szCs w:val="24"/>
              </w:rPr>
              <w:t>　</w:t>
            </w:r>
          </w:p>
        </w:tc>
        <w:tc>
          <w:tcPr>
            <w:tcW w:w="657" w:type="dxa"/>
            <w:tcBorders>
              <w:top w:val="nil"/>
              <w:left w:val="nil"/>
              <w:bottom w:val="single" w:color="auto" w:sz="6" w:space="0"/>
              <w:right w:val="nil"/>
            </w:tcBorders>
            <w:shd w:val="clear" w:color="000000" w:fill="FFFFFF"/>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single" w:color="auto" w:sz="6" w:space="0"/>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Layout w:type="fixed"/>
          <w:tblCellMar>
            <w:top w:w="0" w:type="dxa"/>
            <w:left w:w="108" w:type="dxa"/>
            <w:bottom w:w="0" w:type="dxa"/>
            <w:right w:w="108" w:type="dxa"/>
          </w:tblCellMar>
        </w:tblPrEx>
        <w:trPr>
          <w:trHeight w:val="340" w:hRule="atLeast"/>
        </w:trPr>
        <w:tc>
          <w:tcPr>
            <w:tcW w:w="7272" w:type="dxa"/>
            <w:gridSpan w:val="6"/>
            <w:tcBorders>
              <w:top w:val="single" w:color="auto" w:sz="6" w:space="0"/>
              <w:left w:val="single" w:color="auto" w:sz="6"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6809" w:type="dxa"/>
            <w:gridSpan w:val="5"/>
            <w:tcBorders>
              <w:top w:val="single" w:color="auto" w:sz="6" w:space="0"/>
              <w:left w:val="single" w:color="auto" w:sz="4" w:space="0"/>
              <w:bottom w:val="single" w:color="auto" w:sz="4" w:space="0"/>
              <w:right w:val="single" w:color="auto" w:sz="6"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464"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309" w:type="dxa"/>
            <w:gridSpan w:val="3"/>
            <w:tcBorders>
              <w:top w:val="single" w:color="auto" w:sz="4" w:space="0"/>
              <w:left w:val="single" w:color="auto" w:sz="4" w:space="0"/>
              <w:bottom w:val="single" w:color="auto" w:sz="4" w:space="0"/>
              <w:right w:val="single" w:color="auto" w:sz="6"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464"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309" w:type="dxa"/>
            <w:gridSpan w:val="3"/>
            <w:tcBorders>
              <w:top w:val="single" w:color="auto" w:sz="4" w:space="0"/>
              <w:left w:val="single" w:color="auto" w:sz="4" w:space="0"/>
              <w:bottom w:val="single" w:color="auto" w:sz="4" w:space="0"/>
              <w:right w:val="single" w:color="auto" w:sz="6"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2,375.37</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32</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3,147.00</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33</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34</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35</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4,089.59</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36</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3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37</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4,576.36</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4"/>
                <w:szCs w:val="24"/>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38</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000000" w:fill="FFFFFF"/>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47.43</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39</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305.00</w:t>
            </w:r>
          </w:p>
        </w:tc>
      </w:tr>
      <w:tr>
        <w:tblPrEx>
          <w:tblLayout w:type="fixed"/>
          <w:tblCellMar>
            <w:top w:w="0" w:type="dxa"/>
            <w:left w:w="108" w:type="dxa"/>
            <w:bottom w:w="0" w:type="dxa"/>
            <w:right w:w="108" w:type="dxa"/>
          </w:tblCellMar>
        </w:tblPrEx>
        <w:trPr>
          <w:trHeight w:val="9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九、卫生健康支出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40</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十、节能环保支出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41</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11</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十一、城乡社区支出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42</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十二、农林水支出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43</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3,317.68</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13</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十三、交通运输支出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44</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45</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15</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46</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16</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十六、金融支出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47</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17</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48</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18</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49</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19</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十九、住房保障支出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50</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220.28</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20</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51</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21</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52</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22</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53</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23</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二十三、其他支出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54</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24</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55</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25</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56</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0"/>
                <w:szCs w:val="20"/>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26</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right"/>
              <w:rPr>
                <w:rFonts w:hint="eastAsia"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widowControl/>
              <w:suppressLineNumbers w:val="0"/>
              <w:jc w:val="center"/>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57</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0.00</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b/>
                <w:bCs/>
                <w:kern w:val="0"/>
                <w:sz w:val="22"/>
              </w:rPr>
              <w:t>本年收入合计</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kern w:val="0"/>
                <w:sz w:val="22"/>
                <w:lang w:val="en-US" w:eastAsia="zh-CN"/>
              </w:rPr>
              <w:t>27</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9,659.38</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rPr>
            </w:pPr>
            <w:r>
              <w:rPr>
                <w:rFonts w:hint="eastAsia" w:ascii="宋体" w:hAnsi="宋体" w:eastAsia="宋体" w:cs="宋体"/>
                <w:b/>
                <w:bCs/>
                <w:kern w:val="0"/>
                <w:sz w:val="22"/>
              </w:rPr>
              <w:t>本年支出合计</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58</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kern w:val="0"/>
                <w:sz w:val="22"/>
              </w:rPr>
            </w:pPr>
            <w:r>
              <w:rPr>
                <w:rFonts w:hint="eastAsia" w:ascii="宋体" w:hAnsi="宋体" w:eastAsia="宋体" w:cs="宋体"/>
                <w:i w:val="0"/>
                <w:iCs w:val="0"/>
                <w:color w:val="000000"/>
                <w:kern w:val="0"/>
                <w:sz w:val="20"/>
                <w:szCs w:val="20"/>
                <w:u w:val="none"/>
                <w:lang w:val="en-US" w:eastAsia="zh-CN" w:bidi="ar"/>
              </w:rPr>
              <w:t>8,419.32</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22"/>
              </w:rPr>
            </w:pPr>
            <w:r>
              <w:rPr>
                <w:rFonts w:hint="eastAsia" w:ascii="宋体" w:hAnsi="宋体" w:eastAsia="宋体" w:cs="宋体"/>
                <w:kern w:val="0"/>
                <w:sz w:val="22"/>
              </w:rPr>
              <w:t xml:space="preserve">         使用非财政拨款结余</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28</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0.00</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b/>
                <w:bCs/>
                <w:kern w:val="0"/>
                <w:sz w:val="22"/>
              </w:rPr>
            </w:pPr>
            <w:r>
              <w:rPr>
                <w:rFonts w:hint="eastAsia" w:ascii="宋体" w:hAnsi="宋体" w:eastAsia="宋体" w:cs="宋体"/>
                <w:kern w:val="0"/>
                <w:sz w:val="22"/>
              </w:rPr>
              <w:t xml:space="preserve">                结余分配</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59</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2.98</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年初结转和结余</w:t>
            </w: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29</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1,746.75</w:t>
            </w: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2"/>
              </w:rPr>
            </w:pPr>
            <w:r>
              <w:rPr>
                <w:rFonts w:hint="eastAsia" w:ascii="宋体" w:hAnsi="宋体" w:eastAsia="宋体" w:cs="宋体"/>
                <w:kern w:val="0"/>
                <w:sz w:val="22"/>
              </w:rPr>
              <w:t xml:space="preserve">                年末结转和结余</w:t>
            </w: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60</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kern w:val="0"/>
                <w:sz w:val="22"/>
              </w:rPr>
            </w:pPr>
            <w:r>
              <w:rPr>
                <w:rFonts w:hint="eastAsia" w:ascii="宋体" w:hAnsi="宋体" w:eastAsia="宋体" w:cs="宋体"/>
                <w:i w:val="0"/>
                <w:iCs w:val="0"/>
                <w:color w:val="000000"/>
                <w:kern w:val="0"/>
                <w:sz w:val="20"/>
                <w:szCs w:val="20"/>
                <w:u w:val="none"/>
                <w:lang w:val="en-US" w:eastAsia="zh-CN" w:bidi="ar"/>
              </w:rPr>
              <w:t>2,983.83</w:t>
            </w: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p>
        </w:tc>
        <w:tc>
          <w:tcPr>
            <w:tcW w:w="68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30</w:t>
            </w:r>
          </w:p>
        </w:tc>
        <w:tc>
          <w:tcPr>
            <w:tcW w:w="246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ascii="宋体" w:hAnsi="宋体" w:eastAsia="宋体" w:cs="宋体"/>
                <w:kern w:val="0"/>
                <w:sz w:val="22"/>
              </w:rPr>
            </w:pPr>
          </w:p>
        </w:tc>
        <w:tc>
          <w:tcPr>
            <w:tcW w:w="373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2"/>
              </w:rPr>
            </w:pPr>
          </w:p>
        </w:tc>
        <w:tc>
          <w:tcPr>
            <w:tcW w:w="76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61</w:t>
            </w:r>
          </w:p>
        </w:tc>
        <w:tc>
          <w:tcPr>
            <w:tcW w:w="2309" w:type="dxa"/>
            <w:gridSpan w:val="3"/>
            <w:tcBorders>
              <w:top w:val="single" w:color="auto" w:sz="4" w:space="0"/>
              <w:left w:val="single" w:color="auto" w:sz="4" w:space="0"/>
              <w:bottom w:val="single" w:color="auto" w:sz="4" w:space="0"/>
              <w:right w:val="single" w:color="auto" w:sz="6" w:space="0"/>
            </w:tcBorders>
            <w:shd w:val="clear" w:color="auto" w:fill="auto"/>
            <w:vAlign w:val="center"/>
          </w:tcPr>
          <w:p>
            <w:pPr>
              <w:widowControl/>
              <w:jc w:val="right"/>
              <w:rPr>
                <w:rFonts w:ascii="宋体" w:hAnsi="宋体" w:eastAsia="宋体" w:cs="宋体"/>
                <w:kern w:val="0"/>
                <w:sz w:val="22"/>
              </w:rPr>
            </w:pPr>
          </w:p>
        </w:tc>
      </w:tr>
      <w:tr>
        <w:tblPrEx>
          <w:tblLayout w:type="fixed"/>
          <w:tblCellMar>
            <w:top w:w="0" w:type="dxa"/>
            <w:left w:w="108" w:type="dxa"/>
            <w:bottom w:w="0" w:type="dxa"/>
            <w:right w:w="108" w:type="dxa"/>
          </w:tblCellMar>
        </w:tblPrEx>
        <w:trPr>
          <w:trHeight w:val="340" w:hRule="atLeast"/>
        </w:trPr>
        <w:tc>
          <w:tcPr>
            <w:tcW w:w="4126" w:type="dxa"/>
            <w:tcBorders>
              <w:top w:val="single" w:color="auto" w:sz="4" w:space="0"/>
              <w:left w:val="single" w:color="auto" w:sz="6" w:space="0"/>
              <w:bottom w:val="single" w:color="auto" w:sz="6" w:space="0"/>
              <w:right w:val="single" w:color="auto" w:sz="4" w:space="0"/>
            </w:tcBorders>
            <w:shd w:val="clear" w:color="000000" w:fill="FFFFFF"/>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682" w:type="dxa"/>
            <w:tcBorders>
              <w:top w:val="single" w:color="auto" w:sz="4" w:space="0"/>
              <w:left w:val="single" w:color="auto" w:sz="4" w:space="0"/>
              <w:bottom w:val="single" w:color="auto" w:sz="6"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31</w:t>
            </w:r>
          </w:p>
        </w:tc>
        <w:tc>
          <w:tcPr>
            <w:tcW w:w="2464" w:type="dxa"/>
            <w:gridSpan w:val="4"/>
            <w:tcBorders>
              <w:top w:val="single" w:color="auto" w:sz="4" w:space="0"/>
              <w:left w:val="single" w:color="auto" w:sz="4" w:space="0"/>
              <w:bottom w:val="single" w:color="auto" w:sz="6" w:space="0"/>
              <w:right w:val="single" w:color="auto" w:sz="4" w:space="0"/>
            </w:tcBorders>
            <w:shd w:val="clear" w:color="auto" w:fill="auto"/>
            <w:vAlign w:val="center"/>
          </w:tcPr>
          <w:p>
            <w:pPr>
              <w:jc w:val="right"/>
              <w:rPr>
                <w:rFonts w:ascii="宋体" w:hAnsi="宋体" w:eastAsia="宋体" w:cs="宋体"/>
                <w:kern w:val="0"/>
                <w:sz w:val="22"/>
              </w:rPr>
            </w:pPr>
            <w:r>
              <w:rPr>
                <w:rFonts w:hint="eastAsia" w:ascii="宋体" w:hAnsi="宋体" w:eastAsia="宋体" w:cs="宋体"/>
                <w:kern w:val="0"/>
                <w:sz w:val="22"/>
              </w:rPr>
              <w:t>11406.14</w:t>
            </w:r>
          </w:p>
        </w:tc>
        <w:tc>
          <w:tcPr>
            <w:tcW w:w="3739" w:type="dxa"/>
            <w:tcBorders>
              <w:top w:val="single" w:color="auto" w:sz="4" w:space="0"/>
              <w:left w:val="single" w:color="auto" w:sz="4" w:space="0"/>
              <w:bottom w:val="single" w:color="auto" w:sz="6" w:space="0"/>
              <w:right w:val="single" w:color="auto" w:sz="4" w:space="0"/>
            </w:tcBorders>
            <w:shd w:val="clear" w:color="000000" w:fill="FFFFFF"/>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761" w:type="dxa"/>
            <w:tcBorders>
              <w:top w:val="single" w:color="auto" w:sz="4" w:space="0"/>
              <w:left w:val="single" w:color="auto" w:sz="4" w:space="0"/>
              <w:bottom w:val="single" w:color="auto" w:sz="6" w:space="0"/>
              <w:right w:val="single" w:color="auto" w:sz="4" w:space="0"/>
            </w:tcBorders>
            <w:shd w:val="clear" w:color="000000" w:fill="FFFFFF"/>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62</w:t>
            </w:r>
          </w:p>
        </w:tc>
        <w:tc>
          <w:tcPr>
            <w:tcW w:w="2309" w:type="dxa"/>
            <w:gridSpan w:val="3"/>
            <w:tcBorders>
              <w:top w:val="single" w:color="auto" w:sz="4" w:space="0"/>
              <w:left w:val="single" w:color="auto" w:sz="4" w:space="0"/>
              <w:bottom w:val="single" w:color="auto" w:sz="6" w:space="0"/>
              <w:right w:val="single" w:color="auto" w:sz="6" w:space="0"/>
            </w:tcBorders>
            <w:shd w:val="clear" w:color="auto" w:fill="auto"/>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rPr>
              <w:t>　</w:t>
            </w:r>
            <w:r>
              <w:rPr>
                <w:rFonts w:hint="eastAsia" w:ascii="宋体" w:hAnsi="宋体" w:eastAsia="宋体" w:cs="宋体"/>
                <w:kern w:val="0"/>
                <w:sz w:val="22"/>
              </w:rPr>
              <w:t>11406.14</w:t>
            </w:r>
          </w:p>
        </w:tc>
      </w:tr>
      <w:tr>
        <w:tblPrEx>
          <w:tblLayout w:type="fixed"/>
          <w:tblCellMar>
            <w:top w:w="0" w:type="dxa"/>
            <w:left w:w="108" w:type="dxa"/>
            <w:bottom w:w="0" w:type="dxa"/>
            <w:right w:w="108" w:type="dxa"/>
          </w:tblCellMar>
        </w:tblPrEx>
        <w:trPr>
          <w:trHeight w:val="1020" w:hRule="atLeast"/>
        </w:trPr>
        <w:tc>
          <w:tcPr>
            <w:tcW w:w="14081" w:type="dxa"/>
            <w:gridSpan w:val="11"/>
            <w:tcBorders>
              <w:top w:val="single" w:color="auto" w:sz="6" w:space="0"/>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AndChars" w:linePitch="312" w:charSpace="0"/>
        </w:sectPr>
      </w:pPr>
    </w:p>
    <w:tbl>
      <w:tblPr>
        <w:tblStyle w:val="6"/>
        <w:tblW w:w="15395"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5"/>
        <w:gridCol w:w="3848"/>
        <w:gridCol w:w="1770"/>
        <w:gridCol w:w="1710"/>
        <w:gridCol w:w="1627"/>
        <w:gridCol w:w="1395"/>
        <w:gridCol w:w="1268"/>
        <w:gridCol w:w="1267"/>
        <w:gridCol w:w="12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15395"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150" w:type="dxa"/>
            <w:gridSpan w:val="8"/>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245"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395" w:type="dxa"/>
            <w:gridSpan w:val="9"/>
            <w:tcBorders>
              <w:top w:val="nil"/>
              <w:left w:val="nil"/>
              <w:bottom w:val="single" w:color="000000" w:sz="6" w:space="0"/>
              <w:right w:val="nil"/>
            </w:tcBorders>
            <w:shd w:val="clear" w:color="auto" w:fill="auto"/>
            <w:vAlign w:val="center"/>
          </w:tcPr>
          <w:p>
            <w:pPr>
              <w:jc w:val="left"/>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部门：湖南省水利水电科学研究院                                   2021年度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113" w:type="dxa"/>
            <w:gridSpan w:val="2"/>
            <w:tcBorders>
              <w:top w:val="single" w:color="000000" w:sz="6"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770"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本年收入合计</w:t>
            </w:r>
          </w:p>
        </w:tc>
        <w:tc>
          <w:tcPr>
            <w:tcW w:w="1710"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财政拨款收入</w:t>
            </w:r>
          </w:p>
        </w:tc>
        <w:tc>
          <w:tcPr>
            <w:tcW w:w="1627"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1395"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事业收入</w:t>
            </w:r>
          </w:p>
        </w:tc>
        <w:tc>
          <w:tcPr>
            <w:tcW w:w="1268"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经营收入</w:t>
            </w:r>
          </w:p>
        </w:tc>
        <w:tc>
          <w:tcPr>
            <w:tcW w:w="1267"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附属单位上缴收入</w:t>
            </w:r>
          </w:p>
        </w:tc>
        <w:tc>
          <w:tcPr>
            <w:tcW w:w="1245" w:type="dxa"/>
            <w:vMerge w:val="restart"/>
            <w:tcBorders>
              <w:top w:val="single" w:color="000000" w:sz="6"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vMerge w:val="restart"/>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8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2" w:hRule="atLeast"/>
        </w:trPr>
        <w:tc>
          <w:tcPr>
            <w:tcW w:w="1265"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8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45"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11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11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9,659.38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5,522.37</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4,089.59</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5,297.38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1,160.36</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4,089.59</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20602</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基础研究</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12.89</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2.89</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2060203</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自然科学基金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12.89</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20603</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应用研究</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5,284.49</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1,157.47</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4,079.59</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2060301</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2,431.17</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1,157.47</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1,226.27</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2060302</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社会公益研究</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2,853.32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2,853.32</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3,836.72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3,836.72</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21303</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水利</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689.72</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689.72</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2130308</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水利前期工作</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663.06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663.06</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2130317</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水利技术推广</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26.66</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26.66</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21369</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国家重大水利工程建设基金安排的支出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3,147.00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3,147.00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2136902</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三峡后续工作</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3,147.00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3,147.00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8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7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1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265" w:type="dxa"/>
            <w:tcBorders>
              <w:top w:val="single" w:color="000000" w:sz="4" w:space="0"/>
              <w:left w:val="single" w:color="000000" w:sz="6"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2210203</w:t>
            </w:r>
          </w:p>
        </w:tc>
        <w:tc>
          <w:tcPr>
            <w:tcW w:w="3848"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1770"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1710"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1627"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95"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8"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67"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245" w:type="dxa"/>
            <w:tcBorders>
              <w:top w:val="single" w:color="000000" w:sz="4" w:space="0"/>
              <w:left w:val="single" w:color="000000" w:sz="4" w:space="0"/>
              <w:bottom w:val="single" w:color="000000" w:sz="6"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395" w:type="dxa"/>
            <w:gridSpan w:val="9"/>
            <w:tcBorders>
              <w:top w:val="single" w:color="000000" w:sz="6"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注：本表反映部门本年度取得的各项收入情况。</w:t>
            </w:r>
          </w:p>
        </w:tc>
      </w:tr>
    </w:tbl>
    <w:p>
      <w:pPr>
        <w:widowControl/>
        <w:jc w:val="left"/>
        <w:rPr>
          <w:rFonts w:ascii="Times New Roman" w:hAnsi="Times New Roman" w:eastAsia="黑体" w:cs="Times New Roman"/>
          <w:bCs/>
          <w:kern w:val="0"/>
          <w:sz w:val="32"/>
          <w:szCs w:val="32"/>
        </w:rPr>
      </w:pPr>
    </w:p>
    <w:tbl>
      <w:tblPr>
        <w:tblStyle w:val="6"/>
        <w:tblW w:w="15514"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40"/>
        <w:gridCol w:w="3683"/>
        <w:gridCol w:w="1965"/>
        <w:gridCol w:w="1957"/>
        <w:gridCol w:w="1995"/>
        <w:gridCol w:w="1723"/>
        <w:gridCol w:w="1382"/>
        <w:gridCol w:w="1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15514" w:type="dxa"/>
            <w:gridSpan w:val="8"/>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4045" w:type="dxa"/>
            <w:gridSpan w:val="7"/>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469"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514" w:type="dxa"/>
            <w:gridSpan w:val="8"/>
            <w:tcBorders>
              <w:top w:val="nil"/>
              <w:left w:val="nil"/>
              <w:bottom w:val="single" w:color="000000" w:sz="6"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部门：湖南省水利水电科学研究院                                   2021年度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023" w:type="dxa"/>
            <w:gridSpan w:val="2"/>
            <w:tcBorders>
              <w:top w:val="single" w:color="000000" w:sz="6"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965"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本年支出合计</w:t>
            </w:r>
          </w:p>
        </w:tc>
        <w:tc>
          <w:tcPr>
            <w:tcW w:w="1957"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995"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723"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上缴上级支出</w:t>
            </w:r>
          </w:p>
        </w:tc>
        <w:tc>
          <w:tcPr>
            <w:tcW w:w="1382"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经营支出</w:t>
            </w:r>
          </w:p>
        </w:tc>
        <w:tc>
          <w:tcPr>
            <w:tcW w:w="1469" w:type="dxa"/>
            <w:vMerge w:val="restart"/>
            <w:tcBorders>
              <w:top w:val="single" w:color="000000" w:sz="6"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vMerge w:val="restart"/>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6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5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9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69"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02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502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8,419.32</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2,956.45</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5,462.87</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科学技术支出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4,576.36</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2,431.17</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2,145.19</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基础研究</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2060203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自然科学基金</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应用研究</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4,573.05</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2,431.17</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2,141.88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2060301</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2,431.17</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2,431.17</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2060302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社会公益研究</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2,141.88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2,141.88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3,317.68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3,317.68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21303</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水利</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2130306</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69.08</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2130308</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水利前期工作</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287.10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287.10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2130317</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水利技术推广</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21369</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国家重大水利工程建设基金安排的支出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2136902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三峡后续工作</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6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9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195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19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40" w:type="dxa"/>
            <w:tcBorders>
              <w:top w:val="single" w:color="000000" w:sz="4" w:space="0"/>
              <w:left w:val="single" w:color="000000" w:sz="6"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2210203</w:t>
            </w:r>
          </w:p>
        </w:tc>
        <w:tc>
          <w:tcPr>
            <w:tcW w:w="3683"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1965"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1957"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1995"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23"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82"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69" w:type="dxa"/>
            <w:tcBorders>
              <w:top w:val="single" w:color="000000" w:sz="4" w:space="0"/>
              <w:left w:val="single" w:color="000000" w:sz="4" w:space="0"/>
              <w:bottom w:val="single" w:color="000000" w:sz="6"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514" w:type="dxa"/>
            <w:gridSpan w:val="8"/>
            <w:tcBorders>
              <w:top w:val="single" w:color="000000" w:sz="6"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注：本表反映部门本年度各项支出情况。</w:t>
            </w:r>
          </w:p>
        </w:tc>
      </w:tr>
    </w:tbl>
    <w:p>
      <w:pPr>
        <w:widowControl/>
        <w:rPr>
          <w:rFonts w:ascii="Times New Roman" w:hAnsi="Times New Roman" w:eastAsia="方正小标宋_GBK" w:cs="Times New Roman"/>
          <w:color w:val="000000"/>
          <w:kern w:val="0"/>
          <w:sz w:val="36"/>
          <w:szCs w:val="36"/>
        </w:rPr>
      </w:pPr>
    </w:p>
    <w:tbl>
      <w:tblPr>
        <w:tblStyle w:val="6"/>
        <w:tblW w:w="15103" w:type="dxa"/>
        <w:tblInd w:w="10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98"/>
        <w:gridCol w:w="652"/>
        <w:gridCol w:w="1223"/>
        <w:gridCol w:w="3390"/>
        <w:gridCol w:w="637"/>
        <w:gridCol w:w="1170"/>
        <w:gridCol w:w="1448"/>
        <w:gridCol w:w="1829"/>
        <w:gridCol w:w="17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15103" w:type="dxa"/>
            <w:gridSpan w:val="9"/>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347" w:type="dxa"/>
            <w:gridSpan w:val="8"/>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756"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5103" w:type="dxa"/>
            <w:gridSpan w:val="9"/>
            <w:tcBorders>
              <w:top w:val="nil"/>
              <w:left w:val="nil"/>
              <w:bottom w:val="single" w:color="000000" w:sz="6"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部门：湖南省水利水电科学研究院                                  2021年度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4873" w:type="dxa"/>
            <w:gridSpan w:val="3"/>
            <w:tcBorders>
              <w:top w:val="single" w:color="000000" w:sz="6"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10230" w:type="dxa"/>
            <w:gridSpan w:val="6"/>
            <w:tcBorders>
              <w:top w:val="single" w:color="000000" w:sz="6"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5" w:hRule="atLeast"/>
        </w:trPr>
        <w:tc>
          <w:tcPr>
            <w:tcW w:w="2998" w:type="dxa"/>
            <w:vMerge w:val="restart"/>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金额</w:t>
            </w:r>
          </w:p>
        </w:tc>
        <w:tc>
          <w:tcPr>
            <w:tcW w:w="3390" w:type="dxa"/>
            <w:vMerge w:val="restart"/>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63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行次</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一般公共预算财政拨款</w:t>
            </w:r>
          </w:p>
        </w:tc>
        <w:tc>
          <w:tcPr>
            <w:tcW w:w="18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政府性基金预算财政拨款</w:t>
            </w:r>
          </w:p>
        </w:tc>
        <w:tc>
          <w:tcPr>
            <w:tcW w:w="1756" w:type="dxa"/>
            <w:vMerge w:val="restart"/>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7" w:hRule="atLeast"/>
        </w:trPr>
        <w:tc>
          <w:tcPr>
            <w:tcW w:w="2998"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iCs w:val="0"/>
                <w:color w:val="000000"/>
                <w:sz w:val="20"/>
                <w:szCs w:val="20"/>
                <w:u w:val="none"/>
              </w:rPr>
            </w:pPr>
          </w:p>
        </w:tc>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390" w:type="dxa"/>
            <w:vMerge w:val="continue"/>
            <w:tcBorders>
              <w:top w:val="single" w:color="000000" w:sz="4" w:space="0"/>
              <w:left w:val="single" w:color="000000" w:sz="4" w:space="0"/>
              <w:bottom w:val="single" w:color="000000" w:sz="4" w:space="0"/>
              <w:right w:val="single" w:color="000000" w:sz="4" w:space="0"/>
            </w:tcBorders>
            <w:shd w:val="clear" w:color="auto" w:fill="auto"/>
            <w:vAlign w:val="bottom"/>
          </w:tcPr>
          <w:p>
            <w:pPr>
              <w:jc w:val="both"/>
              <w:rPr>
                <w:rFonts w:hint="eastAsia" w:ascii="宋体" w:hAnsi="宋体" w:eastAsia="宋体" w:cs="宋体"/>
                <w:i w:val="0"/>
                <w:iCs w:val="0"/>
                <w:color w:val="000000"/>
                <w:sz w:val="20"/>
                <w:szCs w:val="20"/>
                <w:u w:val="none"/>
              </w:rPr>
            </w:pPr>
          </w:p>
        </w:tc>
        <w:tc>
          <w:tcPr>
            <w:tcW w:w="63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56"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一、一般公共预算财政拨款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2,375.37</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二、政府性基金预算财政拨款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3,147.00</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三、国有资本经营财政拨款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1,160.78</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1,160.78</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305.00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3,317.68</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377.48</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220.28</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220.28</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二十一、国有资本经营预算支出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二十二、灾害防治及应急管理支出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二十四、债务还本支出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二十五、债务付息支出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二十六、抗疫特别国债安排的支出</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本年收入合计</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5,522.37</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本年支出合计</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5,003.73</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2,063.54</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年初财政拨款结转和结余</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303.95</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年末财政拨款结转和结余</w:t>
            </w: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822.58</w:t>
            </w: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615.78</w:t>
            </w: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206.80</w:t>
            </w: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一般公共预算财政拨款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303.95</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政府性基金预算财政拨款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国有资本经营预算财政拨款</w:t>
            </w:r>
          </w:p>
        </w:tc>
        <w:tc>
          <w:tcPr>
            <w:tcW w:w="6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9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6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4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82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eastAsia" w:ascii="宋体" w:hAnsi="宋体" w:eastAsia="宋体" w:cs="宋体"/>
                <w:i w:val="0"/>
                <w:iCs w:val="0"/>
                <w:color w:val="000000"/>
                <w:sz w:val="20"/>
                <w:szCs w:val="20"/>
                <w:u w:val="none"/>
              </w:rPr>
            </w:pPr>
          </w:p>
        </w:tc>
        <w:tc>
          <w:tcPr>
            <w:tcW w:w="1756" w:type="dxa"/>
            <w:tcBorders>
              <w:top w:val="single" w:color="000000" w:sz="4" w:space="0"/>
              <w:left w:val="single" w:color="000000" w:sz="4" w:space="0"/>
              <w:bottom w:val="single" w:color="000000" w:sz="4" w:space="0"/>
              <w:right w:val="single" w:color="000000" w:sz="6" w:space="0"/>
            </w:tcBorders>
            <w:shd w:val="clear" w:color="auto" w:fill="auto"/>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2998" w:type="dxa"/>
            <w:tcBorders>
              <w:top w:val="single" w:color="000000" w:sz="4" w:space="0"/>
              <w:left w:val="single" w:color="000000" w:sz="6" w:space="0"/>
              <w:bottom w:val="single" w:color="000000" w:sz="6"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52"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c>
          <w:tcPr>
            <w:tcW w:w="1223"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5,826.31</w:t>
            </w:r>
          </w:p>
        </w:tc>
        <w:tc>
          <w:tcPr>
            <w:tcW w:w="3390"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总计</w:t>
            </w:r>
          </w:p>
        </w:tc>
        <w:tc>
          <w:tcPr>
            <w:tcW w:w="637"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w:t>
            </w:r>
          </w:p>
        </w:tc>
        <w:tc>
          <w:tcPr>
            <w:tcW w:w="1170"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5,826.31</w:t>
            </w:r>
          </w:p>
        </w:tc>
        <w:tc>
          <w:tcPr>
            <w:tcW w:w="1448"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2,679.31</w:t>
            </w:r>
          </w:p>
        </w:tc>
        <w:tc>
          <w:tcPr>
            <w:tcW w:w="1829"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3,147.00</w:t>
            </w:r>
          </w:p>
        </w:tc>
        <w:tc>
          <w:tcPr>
            <w:tcW w:w="1756" w:type="dxa"/>
            <w:tcBorders>
              <w:top w:val="single" w:color="000000" w:sz="4" w:space="0"/>
              <w:left w:val="single" w:color="000000" w:sz="4" w:space="0"/>
              <w:bottom w:val="single" w:color="000000" w:sz="6"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trPr>
        <w:tc>
          <w:tcPr>
            <w:tcW w:w="13347" w:type="dxa"/>
            <w:gridSpan w:val="8"/>
            <w:tcBorders>
              <w:top w:val="single" w:color="000000" w:sz="6"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注：本表反映部门本年度一般公共预算财政拨款、政府性基金预算财政拨款和国有资本经营预算财政拨款的总收支和年末结转结余情况。</w:t>
            </w:r>
          </w:p>
        </w:tc>
        <w:tc>
          <w:tcPr>
            <w:tcW w:w="1756" w:type="dxa"/>
            <w:tcBorders>
              <w:top w:val="single" w:color="000000" w:sz="6" w:space="0"/>
              <w:left w:val="nil"/>
              <w:bottom w:val="nil"/>
              <w:right w:val="nil"/>
            </w:tcBorders>
            <w:shd w:val="clear" w:color="auto" w:fill="auto"/>
            <w:vAlign w:val="center"/>
          </w:tcPr>
          <w:p>
            <w:pPr>
              <w:jc w:val="left"/>
              <w:rPr>
                <w:rFonts w:hint="eastAsia" w:ascii="宋体" w:hAnsi="宋体" w:eastAsia="宋体" w:cs="宋体"/>
                <w:i w:val="0"/>
                <w:iCs w:val="0"/>
                <w:color w:val="000000"/>
                <w:sz w:val="20"/>
                <w:szCs w:val="20"/>
                <w:u w:val="none"/>
              </w:rPr>
            </w:pPr>
          </w:p>
        </w:tc>
      </w:tr>
    </w:tbl>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p>
      <w:pPr>
        <w:widowControl/>
        <w:rPr>
          <w:rFonts w:ascii="Times New Roman" w:hAnsi="Times New Roman" w:eastAsia="方正小标宋_GBK" w:cs="Times New Roman"/>
          <w:color w:val="000000"/>
          <w:kern w:val="0"/>
          <w:sz w:val="36"/>
          <w:szCs w:val="36"/>
        </w:rPr>
      </w:pPr>
    </w:p>
    <w:tbl>
      <w:tblPr>
        <w:tblStyle w:val="6"/>
        <w:tblW w:w="1561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
        <w:gridCol w:w="943"/>
        <w:gridCol w:w="1400"/>
        <w:gridCol w:w="1975"/>
        <w:gridCol w:w="1027"/>
        <w:gridCol w:w="1155"/>
        <w:gridCol w:w="468"/>
        <w:gridCol w:w="1707"/>
        <w:gridCol w:w="893"/>
        <w:gridCol w:w="143"/>
        <w:gridCol w:w="981"/>
        <w:gridCol w:w="2032"/>
        <w:gridCol w:w="2174"/>
        <w:gridCol w:w="362"/>
        <w:gridCol w:w="2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Before w:val="1"/>
          <w:gridAfter w:val="1"/>
          <w:wBefore w:w="100" w:type="dxa"/>
          <w:wAfter w:w="254" w:type="dxa"/>
          <w:trHeight w:val="618" w:hRule="atLeast"/>
        </w:trPr>
        <w:tc>
          <w:tcPr>
            <w:tcW w:w="15260" w:type="dxa"/>
            <w:gridSpan w:val="13"/>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09" w:hRule="atLeast"/>
        </w:trPr>
        <w:tc>
          <w:tcPr>
            <w:tcW w:w="12724" w:type="dxa"/>
            <w:gridSpan w:val="11"/>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2536" w:type="dxa"/>
            <w:gridSpan w:val="2"/>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09" w:hRule="atLeast"/>
        </w:trPr>
        <w:tc>
          <w:tcPr>
            <w:tcW w:w="15260" w:type="dxa"/>
            <w:gridSpan w:val="13"/>
            <w:tcBorders>
              <w:top w:val="nil"/>
              <w:left w:val="nil"/>
              <w:bottom w:val="single" w:color="000000" w:sz="6"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部门：湖南省水利水电科学研究院                                  2021年度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6968" w:type="dxa"/>
            <w:gridSpan w:val="6"/>
            <w:tcBorders>
              <w:top w:val="single" w:color="000000" w:sz="6"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8292" w:type="dxa"/>
            <w:gridSpan w:val="7"/>
            <w:tcBorders>
              <w:top w:val="single" w:color="000000" w:sz="6"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vMerge w:val="restart"/>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462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27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301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2536" w:type="dxa"/>
            <w:gridSpan w:val="2"/>
            <w:vMerge w:val="restart"/>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2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36" w:type="dxa"/>
            <w:gridSpan w:val="2"/>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2" w:hRule="atLeast"/>
        </w:trPr>
        <w:tc>
          <w:tcPr>
            <w:tcW w:w="2343" w:type="dxa"/>
            <w:gridSpan w:val="2"/>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62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7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01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2536" w:type="dxa"/>
            <w:gridSpan w:val="2"/>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6968" w:type="dxa"/>
            <w:gridSpan w:val="6"/>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6968" w:type="dxa"/>
            <w:gridSpan w:val="6"/>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2,063.54</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1,682.75</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380.79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一般公共服务支出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20104</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发展与改革事务</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2010499</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其他发展与改革事务支出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科学技术支出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1,160.78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1,157.47</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20602</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基础研究</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2060203</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自然科学基金</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20603</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应用研究</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1,157.47</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1,157.47</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2060301</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1,157.47</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1,157.47</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20805</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305.00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21303</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水利</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377.48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2130306</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2130308</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水利前期工作</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287.10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287.10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2130317</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水利技术推广</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22102</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住房改革支出</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220.28</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462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274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301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183.00</w:t>
            </w:r>
          </w:p>
        </w:tc>
        <w:tc>
          <w:tcPr>
            <w:tcW w:w="2536" w:type="dxa"/>
            <w:gridSpan w:val="2"/>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2343" w:type="dxa"/>
            <w:gridSpan w:val="2"/>
            <w:tcBorders>
              <w:top w:val="single" w:color="000000" w:sz="4" w:space="0"/>
              <w:left w:val="single" w:color="000000" w:sz="6"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2210203</w:t>
            </w:r>
          </w:p>
        </w:tc>
        <w:tc>
          <w:tcPr>
            <w:tcW w:w="4625" w:type="dxa"/>
            <w:gridSpan w:val="4"/>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购房补贴</w:t>
            </w:r>
          </w:p>
        </w:tc>
        <w:tc>
          <w:tcPr>
            <w:tcW w:w="2743" w:type="dxa"/>
            <w:gridSpan w:val="3"/>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3013" w:type="dxa"/>
            <w:gridSpan w:val="2"/>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37.28</w:t>
            </w:r>
          </w:p>
        </w:tc>
        <w:tc>
          <w:tcPr>
            <w:tcW w:w="2536" w:type="dxa"/>
            <w:gridSpan w:val="2"/>
            <w:tcBorders>
              <w:top w:val="single" w:color="000000" w:sz="4" w:space="0"/>
              <w:left w:val="single" w:color="000000" w:sz="4" w:space="0"/>
              <w:bottom w:val="single" w:color="000000" w:sz="6"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Before w:val="1"/>
          <w:gridAfter w:val="1"/>
          <w:wBefore w:w="100" w:type="dxa"/>
          <w:wAfter w:w="254" w:type="dxa"/>
          <w:trHeight w:val="319" w:hRule="atLeast"/>
        </w:trPr>
        <w:tc>
          <w:tcPr>
            <w:tcW w:w="15260" w:type="dxa"/>
            <w:gridSpan w:val="13"/>
            <w:tcBorders>
              <w:top w:val="single" w:color="000000" w:sz="6"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注：本表反映部门本年度一般公共预算财政拨款支出情况。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13" w:hRule="atLeast"/>
        </w:trPr>
        <w:tc>
          <w:tcPr>
            <w:tcW w:w="15614" w:type="dxa"/>
            <w:gridSpan w:val="15"/>
            <w:tcBorders>
              <w:top w:val="nil"/>
              <w:left w:val="nil"/>
              <w:bottom w:val="single" w:color="auto" w:sz="6" w:space="0"/>
              <w:right w:val="nil"/>
            </w:tcBorders>
            <w:shd w:val="clear" w:color="auto" w:fill="auto"/>
            <w:vAlign w:val="center"/>
          </w:tcPr>
          <w:p>
            <w:pPr>
              <w:jc w:val="center"/>
              <w:rPr>
                <w:rFonts w:ascii="Times New Roman" w:hAnsi="Times New Roman" w:eastAsia="仿宋_GB2312" w:cs="Times New Roman"/>
                <w:color w:val="000000"/>
                <w:kern w:val="0"/>
                <w:szCs w:val="21"/>
              </w:rPr>
            </w:pPr>
            <w:bookmarkStart w:id="0" w:name="RANGE!A1:I22"/>
            <w:bookmarkEnd w:id="0"/>
            <w:bookmarkStart w:id="1" w:name="RANGE!A1:I34"/>
            <w:r>
              <w:rPr>
                <w:rFonts w:hint="eastAsia" w:ascii="黑体" w:hAnsi="宋体" w:eastAsia="黑体" w:cs="黑体"/>
                <w:i w:val="0"/>
                <w:iCs w:val="0"/>
                <w:color w:val="000000"/>
                <w:kern w:val="0"/>
                <w:sz w:val="30"/>
                <w:szCs w:val="30"/>
                <w:u w:val="none"/>
                <w:lang w:val="en-US" w:eastAsia="zh-CN" w:bidi="ar"/>
              </w:rPr>
              <w:t xml:space="preserve">                                 一般公共预算财政拨款基本支出决算明细表</w:t>
            </w:r>
            <w:bookmarkEnd w:id="1"/>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公开06表</w:t>
            </w:r>
          </w:p>
          <w:p>
            <w:pPr>
              <w:widowControl/>
              <w:jc w:val="both"/>
              <w:rPr>
                <w:rFonts w:ascii="华文中宋" w:hAnsi="华文中宋" w:eastAsia="华文中宋" w:cs="宋体"/>
                <w:color w:val="000000"/>
                <w:kern w:val="0"/>
                <w:szCs w:val="32"/>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湖南省水利水电科学研究院</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113" w:hRule="atLeast"/>
        </w:trPr>
        <w:tc>
          <w:tcPr>
            <w:tcW w:w="1043" w:type="dxa"/>
            <w:gridSpan w:val="2"/>
            <w:tcBorders>
              <w:top w:val="single" w:color="auto" w:sz="6"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75"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1027" w:type="dxa"/>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55" w:type="dxa"/>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175"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93" w:type="dxa"/>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24"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gridSpan w:val="2"/>
            <w:tcBorders>
              <w:top w:val="single" w:color="auto" w:sz="6"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16" w:type="dxa"/>
            <w:gridSpan w:val="2"/>
            <w:tcBorders>
              <w:top w:val="single" w:color="auto" w:sz="6" w:space="0"/>
              <w:left w:val="single" w:color="auto" w:sz="4" w:space="0"/>
              <w:bottom w:val="single" w:color="auto" w:sz="4" w:space="0"/>
              <w:right w:val="single" w:color="auto" w:sz="6"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1,656.40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337.24</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57.91</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624.95</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208.57</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103.78</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117.21</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22.64</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183.00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1.09</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26.35</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10.80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15.33</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0.18</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0.04</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043" w:type="dxa"/>
            <w:gridSpan w:val="2"/>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02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5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17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8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c>
          <w:tcPr>
            <w:tcW w:w="11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16" w:type="dxa"/>
            <w:gridSpan w:val="2"/>
            <w:tcBorders>
              <w:top w:val="single" w:color="auto" w:sz="4" w:space="0"/>
              <w:left w:val="single" w:color="auto" w:sz="4" w:space="0"/>
              <w:bottom w:val="single" w:color="auto" w:sz="4"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4418" w:type="dxa"/>
            <w:gridSpan w:val="4"/>
            <w:tcBorders>
              <w:top w:val="single" w:color="auto" w:sz="4" w:space="0"/>
              <w:left w:val="single" w:color="auto" w:sz="6" w:space="0"/>
              <w:bottom w:val="single" w:color="auto" w:sz="6"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1027" w:type="dxa"/>
            <w:tcBorders>
              <w:top w:val="single" w:color="auto" w:sz="4" w:space="0"/>
              <w:left w:val="single" w:color="auto" w:sz="4" w:space="0"/>
              <w:bottom w:val="single" w:color="auto" w:sz="6" w:space="0"/>
              <w:right w:val="single" w:color="auto" w:sz="4" w:space="0"/>
            </w:tcBorders>
            <w:shd w:val="clear" w:color="auto" w:fill="auto"/>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rPr>
              <w:t>1682.75</w:t>
            </w:r>
          </w:p>
        </w:tc>
        <w:tc>
          <w:tcPr>
            <w:tcW w:w="9553" w:type="dxa"/>
            <w:gridSpan w:val="8"/>
            <w:tcBorders>
              <w:top w:val="single" w:color="auto" w:sz="4" w:space="0"/>
              <w:left w:val="single" w:color="auto" w:sz="4" w:space="0"/>
              <w:bottom w:val="single" w:color="auto" w:sz="6"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16" w:type="dxa"/>
            <w:gridSpan w:val="2"/>
            <w:tcBorders>
              <w:top w:val="single" w:color="auto" w:sz="4" w:space="0"/>
              <w:left w:val="single" w:color="auto" w:sz="4" w:space="0"/>
              <w:bottom w:val="single" w:color="auto" w:sz="6" w:space="0"/>
              <w:right w:val="single" w:color="auto" w:sz="6" w:space="0"/>
            </w:tcBorders>
            <w:shd w:val="clear" w:color="auto" w:fill="auto"/>
            <w:vAlign w:val="center"/>
          </w:tcPr>
          <w:p>
            <w:pPr>
              <w:keepNext w:val="0"/>
              <w:keepLines w:val="0"/>
              <w:widowControl/>
              <w:suppressLineNumbers w:val="0"/>
              <w:jc w:val="right"/>
              <w:textAlignment w:val="center"/>
              <w:rPr>
                <w:rFonts w:ascii="宋体" w:hAnsi="宋体" w:eastAsia="宋体" w:cs="宋体"/>
                <w:color w:val="000000"/>
                <w:kern w:val="0"/>
                <w:szCs w:val="18"/>
              </w:rPr>
            </w:pPr>
            <w:r>
              <w:rPr>
                <w:rFonts w:hint="eastAsia" w:ascii="宋体" w:hAnsi="宋体" w:eastAsia="宋体" w:cs="宋体"/>
                <w:i w:val="0"/>
                <w:iCs w:val="0"/>
                <w:color w:val="000000"/>
                <w:kern w:val="0"/>
                <w:sz w:val="20"/>
                <w:szCs w:val="20"/>
                <w:u w:val="none"/>
                <w:lang w:val="en-US" w:eastAsia="zh-CN" w:bidi="ar"/>
              </w:rPr>
              <w:t>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trHeight w:val="284" w:hRule="exact"/>
        </w:trPr>
        <w:tc>
          <w:tcPr>
            <w:tcW w:w="15614" w:type="dxa"/>
            <w:gridSpan w:val="15"/>
            <w:tcBorders>
              <w:top w:val="single" w:color="auto" w:sz="6" w:space="0"/>
              <w:left w:val="nil"/>
              <w:bottom w:val="nil"/>
              <w:right w:val="nil"/>
            </w:tcBorders>
            <w:shd w:val="clear" w:color="auto" w:fill="auto"/>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hint="eastAsia" w:ascii="Times New Roman" w:hAnsi="Times New Roman" w:eastAsia="方正小标宋_GBK" w:cs="Times New Roman"/>
          <w:color w:val="000000"/>
          <w:kern w:val="0"/>
          <w:sz w:val="36"/>
          <w:szCs w:val="36"/>
        </w:rPr>
      </w:pPr>
    </w:p>
    <w:p>
      <w:pPr>
        <w:jc w:val="center"/>
        <w:rPr>
          <w:rFonts w:hint="eastAsia" w:ascii="黑体" w:hAnsi="宋体" w:eastAsia="黑体" w:cs="黑体"/>
          <w:i w:val="0"/>
          <w:iCs w:val="0"/>
          <w:color w:val="000000"/>
          <w:kern w:val="0"/>
          <w:sz w:val="30"/>
          <w:szCs w:val="30"/>
          <w:u w:val="none"/>
          <w:lang w:val="en-US" w:eastAsia="zh-CN" w:bidi="ar"/>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p>
      <w:pPr>
        <w:widowControl/>
        <w:ind w:firstLine="420" w:firstLineChars="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湖南省水利水电科学研究院</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6"/>
        <w:tblW w:w="14640" w:type="dxa"/>
        <w:jc w:val="center"/>
        <w:tblInd w:w="0" w:type="dxa"/>
        <w:tblLayout w:type="fixed"/>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Layout w:type="fixed"/>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Layout w:type="fixed"/>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Layout w:type="fixed"/>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Layout w:type="fixed"/>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Layout w:type="fixed"/>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Cs w:val="21"/>
              </w:rPr>
            </w:pPr>
            <w:r>
              <w:rPr>
                <w:rFonts w:hint="eastAsia" w:ascii="宋体" w:hAnsi="宋体" w:eastAsia="宋体" w:cs="宋体"/>
                <w:i w:val="0"/>
                <w:iCs w:val="0"/>
                <w:color w:val="000000"/>
                <w:kern w:val="0"/>
                <w:sz w:val="20"/>
                <w:szCs w:val="20"/>
                <w:u w:val="none"/>
                <w:lang w:val="en-US" w:eastAsia="zh-CN" w:bidi="ar"/>
              </w:rPr>
              <w:t>0.00</w:t>
            </w:r>
          </w:p>
        </w:tc>
      </w:tr>
    </w:tbl>
    <w:p>
      <w:pPr>
        <w:widowControl/>
        <w:ind w:left="479" w:leftChars="228" w:firstLine="0" w:firstLineChars="0"/>
        <w:jc w:val="left"/>
        <w:rPr>
          <w:rFonts w:hint="eastAsia"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w:t>
      </w:r>
    </w:p>
    <w:p>
      <w:pPr>
        <w:widowControl/>
        <w:ind w:left="479" w:leftChars="228" w:firstLine="0" w:firstLineChars="0"/>
        <w:jc w:val="left"/>
        <w:rPr>
          <w:rFonts w:hint="eastAsia" w:ascii="宋体" w:eastAsia="宋体" w:cs="宋体"/>
          <w:kern w:val="0"/>
          <w:sz w:val="24"/>
          <w:szCs w:val="24"/>
        </w:rPr>
      </w:pPr>
      <w:r>
        <w:rPr>
          <w:rFonts w:hint="eastAsia" w:ascii="宋体" w:eastAsia="宋体" w:cs="宋体"/>
          <w:kern w:val="0"/>
          <w:sz w:val="24"/>
          <w:szCs w:val="24"/>
        </w:rPr>
        <w:t>数是包括当年一般公共预算财政拨款和以前年度结转资金安排的实际支出。</w:t>
      </w: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hint="eastAsia" w:ascii="宋体" w:eastAsia="宋体" w:cs="宋体"/>
          <w:kern w:val="0"/>
          <w:sz w:val="24"/>
          <w:szCs w:val="24"/>
        </w:rPr>
      </w:pPr>
    </w:p>
    <w:p>
      <w:pPr>
        <w:widowControl/>
        <w:ind w:left="479" w:leftChars="228" w:firstLine="0" w:firstLineChars="0"/>
        <w:jc w:val="left"/>
        <w:rPr>
          <w:rFonts w:ascii="宋体" w:eastAsia="宋体" w:cs="宋体"/>
          <w:kern w:val="0"/>
          <w:sz w:val="24"/>
          <w:szCs w:val="24"/>
        </w:rPr>
      </w:pPr>
    </w:p>
    <w:tbl>
      <w:tblPr>
        <w:tblStyle w:val="6"/>
        <w:tblW w:w="15400"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380"/>
        <w:gridCol w:w="3693"/>
        <w:gridCol w:w="1704"/>
        <w:gridCol w:w="1891"/>
        <w:gridCol w:w="1199"/>
        <w:gridCol w:w="1322"/>
        <w:gridCol w:w="1325"/>
        <w:gridCol w:w="188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jc w:val="center"/>
        </w:trPr>
        <w:tc>
          <w:tcPr>
            <w:tcW w:w="15400" w:type="dxa"/>
            <w:gridSpan w:val="8"/>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18"/>
                <w:szCs w:val="18"/>
                <w:u w:val="none"/>
              </w:rPr>
            </w:pPr>
            <w:r>
              <w:rPr>
                <w:rFonts w:hint="eastAsia" w:ascii="黑体" w:hAnsi="宋体" w:eastAsia="黑体" w:cs="黑体"/>
                <w:i w:val="0"/>
                <w:iCs w:val="0"/>
                <w:color w:val="000000"/>
                <w:kern w:val="0"/>
                <w:sz w:val="30"/>
                <w:szCs w:val="30"/>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3514" w:type="dxa"/>
            <w:gridSpan w:val="7"/>
            <w:tcBorders>
              <w:top w:val="nil"/>
              <w:left w:val="nil"/>
              <w:bottom w:val="nil"/>
              <w:right w:val="nil"/>
            </w:tcBorders>
            <w:shd w:val="clear" w:color="auto" w:fill="auto"/>
            <w:vAlign w:val="center"/>
          </w:tcPr>
          <w:p>
            <w:pPr>
              <w:jc w:val="left"/>
              <w:rPr>
                <w:rFonts w:hint="eastAsia" w:ascii="宋体" w:hAnsi="宋体" w:eastAsia="宋体" w:cs="宋体"/>
                <w:i w:val="0"/>
                <w:iCs w:val="0"/>
                <w:color w:val="000000"/>
                <w:sz w:val="18"/>
                <w:szCs w:val="18"/>
                <w:u w:val="none"/>
              </w:rPr>
            </w:pPr>
          </w:p>
        </w:tc>
        <w:tc>
          <w:tcPr>
            <w:tcW w:w="1886" w:type="dxa"/>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5400" w:type="dxa"/>
            <w:gridSpan w:val="8"/>
            <w:tcBorders>
              <w:top w:val="nil"/>
              <w:left w:val="nil"/>
              <w:bottom w:val="single" w:color="000000" w:sz="6"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部门：湖南省水利水电科学研究院                                 2021年度                                                     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6073" w:type="dxa"/>
            <w:gridSpan w:val="2"/>
            <w:tcBorders>
              <w:top w:val="single" w:color="000000" w:sz="6"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w:t>
            </w:r>
          </w:p>
        </w:tc>
        <w:tc>
          <w:tcPr>
            <w:tcW w:w="1704"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年初结转和结余</w:t>
            </w:r>
          </w:p>
        </w:tc>
        <w:tc>
          <w:tcPr>
            <w:tcW w:w="1891" w:type="dxa"/>
            <w:vMerge w:val="restart"/>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本年收入</w:t>
            </w:r>
          </w:p>
        </w:tc>
        <w:tc>
          <w:tcPr>
            <w:tcW w:w="3846" w:type="dxa"/>
            <w:gridSpan w:val="3"/>
            <w:tcBorders>
              <w:top w:val="single" w:color="000000" w:sz="6"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本年支出</w:t>
            </w:r>
          </w:p>
        </w:tc>
        <w:tc>
          <w:tcPr>
            <w:tcW w:w="1886" w:type="dxa"/>
            <w:vMerge w:val="restart"/>
            <w:tcBorders>
              <w:top w:val="single" w:color="000000" w:sz="6"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vMerge w:val="restart"/>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功能分类科目编码</w:t>
            </w:r>
          </w:p>
        </w:tc>
        <w:tc>
          <w:tcPr>
            <w:tcW w:w="36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科目名称</w:t>
            </w:r>
          </w:p>
        </w:tc>
        <w:tc>
          <w:tcPr>
            <w:tcW w:w="1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13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1886"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86"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vMerge w:val="continue"/>
            <w:tcBorders>
              <w:top w:val="single" w:color="000000" w:sz="4" w:space="0"/>
              <w:left w:val="single" w:color="000000" w:sz="6"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36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1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3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886" w:type="dxa"/>
            <w:vMerge w:val="continue"/>
            <w:tcBorders>
              <w:top w:val="single" w:color="000000" w:sz="4" w:space="0"/>
              <w:left w:val="single" w:color="000000" w:sz="4" w:space="0"/>
              <w:bottom w:val="single" w:color="000000" w:sz="4" w:space="0"/>
              <w:right w:val="single" w:color="000000" w:sz="6"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607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栏次</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88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6073" w:type="dxa"/>
            <w:gridSpan w:val="2"/>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3,147.00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88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w:t>
            </w:r>
          </w:p>
        </w:tc>
        <w:tc>
          <w:tcPr>
            <w:tcW w:w="3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3,147.00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88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tcBorders>
              <w:top w:val="single" w:color="000000" w:sz="4" w:space="0"/>
              <w:left w:val="single" w:color="000000" w:sz="6"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21369</w:t>
            </w:r>
          </w:p>
        </w:tc>
        <w:tc>
          <w:tcPr>
            <w:tcW w:w="36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国家重大水利工程建设基金安排的支出</w:t>
            </w:r>
          </w:p>
        </w:tc>
        <w:tc>
          <w:tcPr>
            <w:tcW w:w="1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8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3,147.00</w:t>
            </w:r>
          </w:p>
        </w:tc>
        <w:tc>
          <w:tcPr>
            <w:tcW w:w="11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0.00</w:t>
            </w:r>
          </w:p>
        </w:tc>
        <w:tc>
          <w:tcPr>
            <w:tcW w:w="13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2,940.20</w:t>
            </w:r>
          </w:p>
        </w:tc>
        <w:tc>
          <w:tcPr>
            <w:tcW w:w="1886" w:type="dxa"/>
            <w:tcBorders>
              <w:top w:val="single" w:color="000000" w:sz="4" w:space="0"/>
              <w:left w:val="single" w:color="000000" w:sz="4" w:space="0"/>
              <w:bottom w:val="single" w:color="000000" w:sz="4"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206.80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2380" w:type="dxa"/>
            <w:tcBorders>
              <w:top w:val="single" w:color="000000" w:sz="4" w:space="0"/>
              <w:left w:val="single" w:color="000000" w:sz="6"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2136902</w:t>
            </w:r>
          </w:p>
        </w:tc>
        <w:tc>
          <w:tcPr>
            <w:tcW w:w="3693"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三峡后续工作</w:t>
            </w:r>
          </w:p>
        </w:tc>
        <w:tc>
          <w:tcPr>
            <w:tcW w:w="1704"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891"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3,147.00</w:t>
            </w:r>
          </w:p>
        </w:tc>
        <w:tc>
          <w:tcPr>
            <w:tcW w:w="1199"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322"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1325" w:type="dxa"/>
            <w:tcBorders>
              <w:top w:val="single" w:color="000000" w:sz="4" w:space="0"/>
              <w:left w:val="single" w:color="000000" w:sz="4" w:space="0"/>
              <w:bottom w:val="single" w:color="000000" w:sz="6"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2,940.20</w:t>
            </w:r>
          </w:p>
        </w:tc>
        <w:tc>
          <w:tcPr>
            <w:tcW w:w="1886" w:type="dxa"/>
            <w:tcBorders>
              <w:top w:val="single" w:color="000000" w:sz="4" w:space="0"/>
              <w:left w:val="single" w:color="000000" w:sz="4" w:space="0"/>
              <w:bottom w:val="single" w:color="000000" w:sz="6" w:space="0"/>
              <w:right w:val="single" w:color="000000" w:sz="6"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0" w:hRule="atLeast"/>
          <w:jc w:val="center"/>
        </w:trPr>
        <w:tc>
          <w:tcPr>
            <w:tcW w:w="15400" w:type="dxa"/>
            <w:gridSpan w:val="8"/>
            <w:tcBorders>
              <w:top w:val="single" w:color="000000" w:sz="6" w:space="0"/>
              <w:left w:val="nil"/>
              <w:bottom w:val="nil"/>
              <w:right w:val="nil"/>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注：本表反映部门本年度政府性基金预算财政拨款收入、支出及结转和结余情况。</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left"/>
        <w:rPr>
          <w:rFonts w:ascii="黑体" w:hAnsi="黑体" w:eastAsia="黑体"/>
          <w:szCs w:val="21"/>
        </w:rPr>
      </w:pPr>
      <w:r>
        <w:rPr>
          <w:rFonts w:ascii="黑体" w:hAnsi="黑体" w:eastAsia="黑体"/>
          <w:szCs w:val="21"/>
        </w:rPr>
        <w:br w:type="page"/>
      </w:r>
    </w:p>
    <w:p>
      <w:pPr>
        <w:widowControl/>
        <w:jc w:val="left"/>
        <w:rPr>
          <w:rFonts w:ascii="黑体" w:hAnsi="黑体" w:eastAsia="黑体"/>
          <w:szCs w:val="21"/>
        </w:rPr>
      </w:pPr>
    </w:p>
    <w:tbl>
      <w:tblPr>
        <w:tblStyle w:val="6"/>
        <w:tblW w:w="15300" w:type="dxa"/>
        <w:jc w:val="center"/>
        <w:tblInd w:w="0" w:type="dxa"/>
        <w:tblLayout w:type="fixed"/>
        <w:tblCellMar>
          <w:top w:w="0" w:type="dxa"/>
          <w:left w:w="108" w:type="dxa"/>
          <w:bottom w:w="0" w:type="dxa"/>
          <w:right w:w="108" w:type="dxa"/>
        </w:tblCellMar>
      </w:tblPr>
      <w:tblGrid>
        <w:gridCol w:w="1141"/>
        <w:gridCol w:w="1776"/>
        <w:gridCol w:w="2290"/>
        <w:gridCol w:w="1319"/>
        <w:gridCol w:w="1430"/>
        <w:gridCol w:w="1393"/>
        <w:gridCol w:w="1816"/>
        <w:gridCol w:w="4135"/>
      </w:tblGrid>
      <w:tr>
        <w:tblPrEx>
          <w:tblLayout w:type="fixed"/>
          <w:tblCellMar>
            <w:top w:w="0" w:type="dxa"/>
            <w:left w:w="108" w:type="dxa"/>
            <w:bottom w:w="0" w:type="dxa"/>
            <w:right w:w="108" w:type="dxa"/>
          </w:tblCellMar>
        </w:tblPrEx>
        <w:trPr>
          <w:trHeight w:val="632" w:hRule="atLeast"/>
          <w:jc w:val="center"/>
        </w:trPr>
        <w:tc>
          <w:tcPr>
            <w:tcW w:w="15300" w:type="dxa"/>
            <w:gridSpan w:val="8"/>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黑体" w:hAnsi="宋体" w:eastAsia="黑体" w:cs="黑体"/>
                <w:i w:val="0"/>
                <w:iCs w:val="0"/>
                <w:color w:val="000000"/>
                <w:kern w:val="0"/>
                <w:sz w:val="30"/>
                <w:szCs w:val="30"/>
                <w:u w:val="none"/>
                <w:lang w:val="en-US" w:eastAsia="zh-CN" w:bidi="ar"/>
              </w:rPr>
              <w:t>国有资本经营预算财政拨款支出决算表</w:t>
            </w:r>
          </w:p>
        </w:tc>
      </w:tr>
      <w:tr>
        <w:tblPrEx>
          <w:tblLayout w:type="fixed"/>
          <w:tblCellMar>
            <w:top w:w="0" w:type="dxa"/>
            <w:left w:w="108" w:type="dxa"/>
            <w:bottom w:w="0" w:type="dxa"/>
            <w:right w:w="108" w:type="dxa"/>
          </w:tblCellMar>
        </w:tblPrEx>
        <w:trPr>
          <w:trHeight w:val="310" w:hRule="atLeast"/>
          <w:jc w:val="center"/>
        </w:trPr>
        <w:tc>
          <w:tcPr>
            <w:tcW w:w="1141"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776"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229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319"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823"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951" w:type="dxa"/>
            <w:gridSpan w:val="2"/>
            <w:tcBorders>
              <w:top w:val="nil"/>
              <w:left w:val="nil"/>
              <w:bottom w:val="nil"/>
              <w:right w:val="nil"/>
            </w:tcBorders>
            <w:shd w:val="clear" w:color="000000" w:fill="FFFFFF"/>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Layout w:type="fixed"/>
          <w:tblCellMar>
            <w:top w:w="0" w:type="dxa"/>
            <w:left w:w="108" w:type="dxa"/>
            <w:bottom w:w="0" w:type="dxa"/>
            <w:right w:w="108" w:type="dxa"/>
          </w:tblCellMar>
        </w:tblPrEx>
        <w:trPr>
          <w:trHeight w:val="310" w:hRule="atLeast"/>
          <w:jc w:val="center"/>
        </w:trPr>
        <w:tc>
          <w:tcPr>
            <w:tcW w:w="15300" w:type="dxa"/>
            <w:gridSpan w:val="8"/>
            <w:tcBorders>
              <w:top w:val="nil"/>
              <w:left w:val="nil"/>
              <w:bottom w:val="single" w:color="auto" w:sz="6" w:space="0"/>
              <w:right w:val="nil"/>
            </w:tcBorders>
            <w:shd w:val="clear" w:color="000000" w:fill="FFFFFF"/>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i w:val="0"/>
                <w:iCs w:val="0"/>
                <w:color w:val="000000"/>
                <w:kern w:val="0"/>
                <w:sz w:val="22"/>
                <w:szCs w:val="22"/>
                <w:u w:val="none"/>
                <w:lang w:val="en-US" w:eastAsia="zh-CN" w:bidi="ar"/>
              </w:rPr>
              <w:t>湖南省水利水电科学研究院                              2021年度                                                  单</w:t>
            </w:r>
            <w:r>
              <w:rPr>
                <w:rFonts w:hint="eastAsia" w:ascii="宋体" w:hAnsi="宋体" w:eastAsia="宋体" w:cs="宋体"/>
                <w:color w:val="000000"/>
                <w:kern w:val="0"/>
                <w:sz w:val="20"/>
                <w:szCs w:val="20"/>
              </w:rPr>
              <w:t>位：万元</w:t>
            </w:r>
          </w:p>
        </w:tc>
      </w:tr>
      <w:tr>
        <w:tblPrEx>
          <w:tblLayout w:type="fixed"/>
          <w:tblCellMar>
            <w:top w:w="0" w:type="dxa"/>
            <w:left w:w="108" w:type="dxa"/>
            <w:bottom w:w="0" w:type="dxa"/>
            <w:right w:w="108" w:type="dxa"/>
          </w:tblCellMar>
        </w:tblPrEx>
        <w:trPr>
          <w:trHeight w:val="396" w:hRule="atLeast"/>
          <w:jc w:val="center"/>
        </w:trPr>
        <w:tc>
          <w:tcPr>
            <w:tcW w:w="5207" w:type="dxa"/>
            <w:gridSpan w:val="3"/>
            <w:tcBorders>
              <w:top w:val="single" w:color="auto" w:sz="6"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10093" w:type="dxa"/>
            <w:gridSpan w:val="5"/>
            <w:tcBorders>
              <w:top w:val="single" w:color="auto" w:sz="6" w:space="0"/>
              <w:left w:val="single" w:color="auto" w:sz="4" w:space="0"/>
              <w:bottom w:val="single" w:color="auto" w:sz="4" w:space="0"/>
              <w:right w:val="single" w:color="auto" w:sz="6"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Layout w:type="fixed"/>
          <w:tblCellMar>
            <w:top w:w="0" w:type="dxa"/>
            <w:left w:w="108" w:type="dxa"/>
            <w:bottom w:w="0" w:type="dxa"/>
            <w:right w:w="108" w:type="dxa"/>
          </w:tblCellMar>
        </w:tblPrEx>
        <w:trPr>
          <w:trHeight w:val="382" w:hRule="atLeast"/>
          <w:jc w:val="center"/>
        </w:trPr>
        <w:tc>
          <w:tcPr>
            <w:tcW w:w="2917" w:type="dxa"/>
            <w:gridSpan w:val="2"/>
            <w:vMerge w:val="restart"/>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29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74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320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4135" w:type="dxa"/>
            <w:vMerge w:val="restart"/>
            <w:tcBorders>
              <w:top w:val="single" w:color="auto" w:sz="4" w:space="0"/>
              <w:left w:val="single" w:color="auto" w:sz="4" w:space="0"/>
              <w:bottom w:val="single" w:color="auto" w:sz="4" w:space="0"/>
              <w:right w:val="single" w:color="auto" w:sz="6"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Layout w:type="fixed"/>
          <w:tblCellMar>
            <w:top w:w="0" w:type="dxa"/>
            <w:left w:w="108" w:type="dxa"/>
            <w:bottom w:w="0" w:type="dxa"/>
            <w:right w:w="108" w:type="dxa"/>
          </w:tblCellMar>
        </w:tblPrEx>
        <w:trPr>
          <w:trHeight w:val="382" w:hRule="atLeast"/>
          <w:jc w:val="center"/>
        </w:trPr>
        <w:tc>
          <w:tcPr>
            <w:tcW w:w="2917" w:type="dxa"/>
            <w:gridSpan w:val="2"/>
            <w:vMerge w:val="continue"/>
            <w:tcBorders>
              <w:top w:val="single" w:color="auto" w:sz="4" w:space="0"/>
              <w:left w:val="single" w:color="auto" w:sz="6"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4135" w:type="dxa"/>
            <w:vMerge w:val="continue"/>
            <w:tcBorders>
              <w:top w:val="single" w:color="auto" w:sz="4" w:space="0"/>
              <w:left w:val="single" w:color="auto" w:sz="4" w:space="0"/>
              <w:bottom w:val="single" w:color="auto" w:sz="4" w:space="0"/>
              <w:right w:val="single" w:color="auto" w:sz="6"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82" w:hRule="atLeast"/>
          <w:jc w:val="center"/>
        </w:trPr>
        <w:tc>
          <w:tcPr>
            <w:tcW w:w="2917" w:type="dxa"/>
            <w:gridSpan w:val="2"/>
            <w:vMerge w:val="continue"/>
            <w:tcBorders>
              <w:top w:val="single" w:color="auto" w:sz="4" w:space="0"/>
              <w:left w:val="single" w:color="auto" w:sz="6"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29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74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2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4135" w:type="dxa"/>
            <w:vMerge w:val="continue"/>
            <w:tcBorders>
              <w:top w:val="single" w:color="auto" w:sz="4" w:space="0"/>
              <w:left w:val="single" w:color="auto" w:sz="4" w:space="0"/>
              <w:bottom w:val="single" w:color="auto" w:sz="4" w:space="0"/>
              <w:right w:val="single" w:color="auto" w:sz="6" w:space="0"/>
            </w:tcBorders>
            <w:vAlign w:val="center"/>
          </w:tcPr>
          <w:p>
            <w:pPr>
              <w:widowControl/>
              <w:jc w:val="left"/>
              <w:rPr>
                <w:rFonts w:ascii="宋体" w:hAnsi="宋体" w:eastAsia="宋体" w:cs="宋体"/>
                <w:kern w:val="0"/>
                <w:sz w:val="24"/>
                <w:szCs w:val="24"/>
              </w:rPr>
            </w:pPr>
          </w:p>
        </w:tc>
      </w:tr>
      <w:tr>
        <w:tblPrEx>
          <w:tblLayout w:type="fixed"/>
          <w:tblCellMar>
            <w:top w:w="0" w:type="dxa"/>
            <w:left w:w="108" w:type="dxa"/>
            <w:bottom w:w="0" w:type="dxa"/>
            <w:right w:w="108" w:type="dxa"/>
          </w:tblCellMar>
        </w:tblPrEx>
        <w:trPr>
          <w:trHeight w:val="382" w:hRule="atLeast"/>
          <w:jc w:val="center"/>
        </w:trPr>
        <w:tc>
          <w:tcPr>
            <w:tcW w:w="5207" w:type="dxa"/>
            <w:gridSpan w:val="3"/>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135" w:type="dxa"/>
            <w:tcBorders>
              <w:top w:val="single" w:color="auto" w:sz="4" w:space="0"/>
              <w:left w:val="single" w:color="auto" w:sz="4" w:space="0"/>
              <w:bottom w:val="single" w:color="auto" w:sz="4" w:space="0"/>
              <w:right w:val="single" w:color="auto" w:sz="6"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Layout w:type="fixed"/>
          <w:tblCellMar>
            <w:top w:w="0" w:type="dxa"/>
            <w:left w:w="108" w:type="dxa"/>
            <w:bottom w:w="0" w:type="dxa"/>
            <w:right w:w="108" w:type="dxa"/>
          </w:tblCellMar>
        </w:tblPrEx>
        <w:trPr>
          <w:trHeight w:val="382" w:hRule="atLeast"/>
          <w:jc w:val="center"/>
        </w:trPr>
        <w:tc>
          <w:tcPr>
            <w:tcW w:w="5207" w:type="dxa"/>
            <w:gridSpan w:val="3"/>
            <w:tcBorders>
              <w:top w:val="single" w:color="auto" w:sz="4" w:space="0"/>
              <w:left w:val="single" w:color="auto" w:sz="6"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0.00</w:t>
            </w:r>
          </w:p>
        </w:tc>
        <w:tc>
          <w:tcPr>
            <w:tcW w:w="32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0.00</w:t>
            </w:r>
          </w:p>
        </w:tc>
        <w:tc>
          <w:tcPr>
            <w:tcW w:w="4135" w:type="dxa"/>
            <w:tcBorders>
              <w:top w:val="single" w:color="auto" w:sz="4" w:space="0"/>
              <w:left w:val="single" w:color="auto" w:sz="4" w:space="0"/>
              <w:bottom w:val="single" w:color="auto" w:sz="4" w:space="0"/>
              <w:right w:val="single" w:color="auto" w:sz="6" w:space="0"/>
            </w:tcBorders>
            <w:shd w:val="clear" w:color="auto" w:fill="auto"/>
            <w:vAlign w:val="center"/>
          </w:tcPr>
          <w:p>
            <w:pPr>
              <w:widowControl/>
              <w:jc w:val="center"/>
              <w:rPr>
                <w:rFonts w:hint="default" w:ascii="宋体" w:hAnsi="宋体" w:eastAsia="宋体" w:cs="宋体"/>
                <w:kern w:val="0"/>
                <w:sz w:val="24"/>
                <w:szCs w:val="24"/>
                <w:lang w:val="en-US"/>
              </w:rPr>
            </w:pPr>
            <w:r>
              <w:rPr>
                <w:rFonts w:hint="eastAsia" w:ascii="宋体" w:hAnsi="宋体" w:eastAsia="宋体" w:cs="宋体"/>
                <w:kern w:val="0"/>
                <w:sz w:val="24"/>
                <w:szCs w:val="24"/>
                <w:lang w:val="en-US" w:eastAsia="zh-CN"/>
              </w:rPr>
              <w:t>0.00</w:t>
            </w:r>
          </w:p>
        </w:tc>
      </w:tr>
      <w:tr>
        <w:tblPrEx>
          <w:tblLayout w:type="fixed"/>
          <w:tblCellMar>
            <w:top w:w="0" w:type="dxa"/>
            <w:left w:w="108" w:type="dxa"/>
            <w:bottom w:w="0" w:type="dxa"/>
            <w:right w:w="108" w:type="dxa"/>
          </w:tblCellMar>
        </w:tblPrEx>
        <w:trPr>
          <w:trHeight w:val="382" w:hRule="atLeast"/>
          <w:jc w:val="center"/>
        </w:trPr>
        <w:tc>
          <w:tcPr>
            <w:tcW w:w="2917" w:type="dxa"/>
            <w:gridSpan w:val="2"/>
            <w:tcBorders>
              <w:top w:val="single" w:color="auto" w:sz="4" w:space="0"/>
              <w:left w:val="single" w:color="auto" w:sz="6" w:space="0"/>
              <w:bottom w:val="single" w:color="auto" w:sz="6"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290" w:type="dxa"/>
            <w:tcBorders>
              <w:top w:val="single" w:color="auto" w:sz="4" w:space="0"/>
              <w:left w:val="single" w:color="auto" w:sz="4" w:space="0"/>
              <w:bottom w:val="single" w:color="auto" w:sz="6"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749" w:type="dxa"/>
            <w:gridSpan w:val="2"/>
            <w:tcBorders>
              <w:top w:val="single" w:color="auto" w:sz="4" w:space="0"/>
              <w:left w:val="single" w:color="auto" w:sz="4" w:space="0"/>
              <w:bottom w:val="single" w:color="auto" w:sz="6"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209" w:type="dxa"/>
            <w:gridSpan w:val="2"/>
            <w:tcBorders>
              <w:top w:val="single" w:color="auto" w:sz="4" w:space="0"/>
              <w:left w:val="single" w:color="auto" w:sz="4" w:space="0"/>
              <w:bottom w:val="single" w:color="auto" w:sz="6"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4135" w:type="dxa"/>
            <w:tcBorders>
              <w:top w:val="single" w:color="auto" w:sz="4" w:space="0"/>
              <w:left w:val="single" w:color="auto" w:sz="4" w:space="0"/>
              <w:bottom w:val="single" w:color="auto" w:sz="6" w:space="0"/>
              <w:right w:val="single" w:color="auto" w:sz="6"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Layout w:type="fixed"/>
          <w:tblCellMar>
            <w:top w:w="0" w:type="dxa"/>
            <w:left w:w="108" w:type="dxa"/>
            <w:bottom w:w="0" w:type="dxa"/>
            <w:right w:w="108" w:type="dxa"/>
          </w:tblCellMar>
        </w:tblPrEx>
        <w:trPr>
          <w:trHeight w:val="674" w:hRule="atLeast"/>
          <w:jc w:val="center"/>
        </w:trPr>
        <w:tc>
          <w:tcPr>
            <w:tcW w:w="15300" w:type="dxa"/>
            <w:gridSpan w:val="8"/>
            <w:tcBorders>
              <w:top w:val="single" w:color="auto" w:sz="6"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hint="default" w:ascii="宋体" w:hAnsi="宋体" w:eastAsia="宋体" w:cs="宋体"/>
                <w:kern w:val="0"/>
                <w:sz w:val="24"/>
                <w:szCs w:val="24"/>
                <w:lang w:val="en-US" w:eastAsia="zh-CN"/>
              </w:rPr>
            </w:pPr>
          </w:p>
        </w:tc>
      </w:tr>
    </w:tbl>
    <w:p>
      <w:pPr>
        <w:pStyle w:val="9"/>
        <w:rPr>
          <w:sz w:val="72"/>
          <w:szCs w:val="72"/>
        </w:rPr>
        <w:sectPr>
          <w:pgSz w:w="16838" w:h="11906" w:orient="landscape"/>
          <w:pgMar w:top="720" w:right="720" w:bottom="720" w:left="720" w:header="851" w:footer="992" w:gutter="0"/>
          <w:pgBorders>
            <w:top w:val="none" w:sz="0" w:space="0"/>
            <w:left w:val="none" w:sz="0" w:space="0"/>
            <w:bottom w:val="none" w:sz="0" w:space="0"/>
            <w:right w:val="none" w:sz="0" w:space="0"/>
          </w:pgBorders>
          <w:cols w:space="425" w:num="1"/>
          <w:docGrid w:type="lines" w:linePitch="312" w:charSpace="0"/>
        </w:sectPr>
      </w:pPr>
      <w:bookmarkStart w:id="2" w:name="_GoBack"/>
      <w:bookmarkEnd w:id="2"/>
    </w:p>
    <w:p>
      <w:pPr>
        <w:pStyle w:val="9"/>
        <w:rPr>
          <w:sz w:val="72"/>
          <w:szCs w:val="72"/>
        </w:rPr>
      </w:pPr>
    </w:p>
    <w:p>
      <w:pPr>
        <w:pStyle w:val="9"/>
        <w:rPr>
          <w:sz w:val="72"/>
          <w:szCs w:val="72"/>
        </w:rPr>
      </w:pPr>
    </w:p>
    <w:p>
      <w:pPr>
        <w:pStyle w:val="9"/>
        <w:rPr>
          <w:sz w:val="72"/>
          <w:szCs w:val="72"/>
        </w:rPr>
      </w:pPr>
    </w:p>
    <w:p>
      <w:pPr>
        <w:pStyle w:val="9"/>
        <w:rPr>
          <w:sz w:val="72"/>
          <w:szCs w:val="72"/>
        </w:rPr>
      </w:pPr>
    </w:p>
    <w:p>
      <w:pPr>
        <w:pStyle w:val="9"/>
        <w:jc w:val="center"/>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w:t>
      </w:r>
      <w:r>
        <w:rPr>
          <w:rFonts w:hint="eastAsia"/>
          <w:sz w:val="70"/>
          <w:szCs w:val="70"/>
          <w:lang w:val="en-US" w:eastAsia="zh-CN"/>
        </w:rPr>
        <w:t>单位</w:t>
      </w:r>
      <w:r>
        <w:rPr>
          <w:rFonts w:hint="eastAsia"/>
          <w:sz w:val="70"/>
          <w:szCs w:val="70"/>
        </w:rPr>
        <w:t>决算情况说明</w:t>
      </w:r>
    </w:p>
    <w:p>
      <w:pPr>
        <w:widowControl/>
        <w:jc w:val="left"/>
        <w:rPr>
          <w:rFonts w:ascii="黑体" w:eastAsia="黑体" w:cs="黑体"/>
          <w:color w:val="000000"/>
          <w:kern w:val="0"/>
          <w:sz w:val="70"/>
          <w:szCs w:val="70"/>
        </w:rPr>
      </w:pPr>
      <w:r>
        <w:rPr>
          <w:sz w:val="70"/>
          <w:szCs w:val="70"/>
        </w:rPr>
        <w:br w:type="page"/>
      </w:r>
    </w:p>
    <w:p>
      <w:pPr>
        <w:pStyle w:val="9"/>
        <w:rPr>
          <w:rFonts w:hAnsi="黑体"/>
          <w:b/>
          <w:color w:val="auto"/>
          <w:sz w:val="32"/>
          <w:szCs w:val="32"/>
        </w:rPr>
      </w:pPr>
      <w:r>
        <w:rPr>
          <w:rFonts w:hint="eastAsia" w:hAnsi="黑体"/>
          <w:b/>
          <w:color w:val="auto"/>
          <w:sz w:val="32"/>
          <w:szCs w:val="32"/>
        </w:rPr>
        <w:t>一、收入支出决算总体情况说明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default"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2021年度收、支总计11406.14万元。与上年相比，增加2602.82万元，增长29.57%，主要是因为：2021年增加政府性基金预算财政拨款收入。</w:t>
      </w:r>
    </w:p>
    <w:p>
      <w:pPr>
        <w:pStyle w:val="9"/>
        <w:rPr>
          <w:rFonts w:hAnsi="黑体"/>
          <w:b/>
          <w:color w:val="auto"/>
          <w:sz w:val="32"/>
          <w:szCs w:val="32"/>
        </w:rPr>
      </w:pPr>
      <w:r>
        <w:rPr>
          <w:rFonts w:hint="eastAsia" w:hAnsi="黑体"/>
          <w:b/>
          <w:color w:val="auto"/>
          <w:sz w:val="32"/>
          <w:szCs w:val="32"/>
        </w:rPr>
        <w:t>二、收入决算情况说明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2021年度收入合计9659.38万元，其中：财政拨款收入5522.37万元，占57.17%；上级补助收入0万元，占比0%；事业收入4089.59万元，占42.34%；经营收入0万元，占比0%；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r>
        <w:rPr>
          <w:rFonts w:hint="eastAsia" w:asciiTheme="minorEastAsia" w:hAnsiTheme="minorEastAsia" w:eastAsiaTheme="minorEastAsia"/>
          <w:color w:val="auto"/>
          <w:sz w:val="32"/>
          <w:szCs w:val="32"/>
          <w:lang w:val="en-US" w:eastAsia="zh-CN"/>
        </w:rPr>
        <w:t>其他收入47.42万元，占0.49%。</w:t>
      </w:r>
    </w:p>
    <w:p>
      <w:pPr>
        <w:pStyle w:val="9"/>
        <w:rPr>
          <w:rFonts w:hAnsi="黑体"/>
          <w:b/>
          <w:color w:val="auto"/>
          <w:sz w:val="32"/>
          <w:szCs w:val="32"/>
        </w:rPr>
      </w:pPr>
      <w:r>
        <w:rPr>
          <w:rFonts w:hint="eastAsia" w:hAnsi="黑体"/>
          <w:b/>
          <w:color w:val="auto"/>
          <w:sz w:val="32"/>
          <w:szCs w:val="32"/>
        </w:rPr>
        <w:t>三、支出决算情况说明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2021年度支出合计8419.32万元，其中：基本支出2956.45万元，占35.12%；项目支出5462.87万元，占64.88%；</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color w:val="auto"/>
          <w:sz w:val="32"/>
          <w:szCs w:val="32"/>
        </w:rPr>
      </w:pPr>
      <w:r>
        <w:rPr>
          <w:rFonts w:hint="eastAsia" w:hAnsi="黑体"/>
          <w:b/>
          <w:color w:val="auto"/>
          <w:sz w:val="32"/>
          <w:szCs w:val="32"/>
        </w:rPr>
        <w:t>四、财政拨款收入支出决算总体情况说明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2021年度财政拨款收、支总计5826.31万元，与上年相比，增加2567.2万元,增长78.77%，主要是因为2021年增加农林水支出的政府性基金预算。</w:t>
      </w:r>
    </w:p>
    <w:p>
      <w:pPr>
        <w:pStyle w:val="9"/>
        <w:rPr>
          <w:rFonts w:hAnsi="黑体"/>
          <w:b/>
          <w:color w:val="auto"/>
          <w:sz w:val="32"/>
          <w:szCs w:val="32"/>
        </w:rPr>
      </w:pPr>
      <w:r>
        <w:rPr>
          <w:rFonts w:hint="eastAsia" w:hAnsi="黑体"/>
          <w:b/>
          <w:color w:val="auto"/>
          <w:sz w:val="32"/>
          <w:szCs w:val="32"/>
        </w:rPr>
        <w:t>五、一般公共预算财政拨款支出决算情况说明</w:t>
      </w:r>
    </w:p>
    <w:p>
      <w:pPr>
        <w:pStyle w:val="9"/>
        <w:ind w:firstLine="640" w:firstLineChars="20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（一）财政拨款支出决算总体情况</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highlight w:val="yellow"/>
          <w:lang w:val="en-US" w:eastAsia="zh-CN"/>
        </w:rPr>
      </w:pPr>
      <w:r>
        <w:rPr>
          <w:rFonts w:hint="eastAsia" w:asciiTheme="minorEastAsia" w:hAnsiTheme="minorEastAsia" w:eastAsiaTheme="minorEastAsia"/>
          <w:color w:val="auto"/>
          <w:sz w:val="32"/>
          <w:szCs w:val="32"/>
          <w:lang w:val="en-US" w:eastAsia="zh-CN"/>
        </w:rPr>
        <w:t>2021年度财政拨款支出2063.54万元，占本年支出合计的41.24%，与上年相比，财政拨款支出减少763.02万元，减少26.99%，</w:t>
      </w:r>
      <w:r>
        <w:rPr>
          <w:rFonts w:hint="eastAsia" w:asciiTheme="minorEastAsia" w:hAnsiTheme="minorEastAsia" w:eastAsiaTheme="minorEastAsia"/>
          <w:color w:val="auto"/>
          <w:sz w:val="32"/>
          <w:szCs w:val="32"/>
          <w:highlight w:val="none"/>
          <w:lang w:val="en-US" w:eastAsia="zh-CN"/>
        </w:rPr>
        <w:t>主要是因为奖金发放政策变化和减少农林水支出的项目资金。</w:t>
      </w:r>
    </w:p>
    <w:p>
      <w:pPr>
        <w:pStyle w:val="9"/>
        <w:ind w:firstLine="480" w:firstLineChars="15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（二）财政拨款支出决算结构情况</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2021年度财政拨款支出2063.54万元，主要用于以下方面：科学技术支出1160.78万元，占56.25%；社会保障和就业支出305万元，占14.78%；农林水支出377.48万元，占18.29%；住房保障支出220.28万元，占10.68%。</w:t>
      </w:r>
    </w:p>
    <w:p>
      <w:pPr>
        <w:pStyle w:val="9"/>
        <w:ind w:firstLine="800" w:firstLineChars="250"/>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（三）财政拨款支出决算具体情况</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2021年度财政拨款支出年初预算数为1986.75万元，支出决算数为2063.54万元，完成年初预算的103.87%，其中：</w:t>
      </w:r>
    </w:p>
    <w:p>
      <w:pPr>
        <w:pStyle w:val="9"/>
        <w:keepNext w:val="0"/>
        <w:keepLines w:val="0"/>
        <w:pageBreakBefore w:val="0"/>
        <w:widowControl w:val="0"/>
        <w:numPr>
          <w:ilvl w:val="0"/>
          <w:numId w:val="2"/>
        </w:numPr>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一般公共服务支出（类）发展与改革事物（款）其他发展与改革事物支出（项）。该科目年初预算为10万元，支出决算为0万元，完成年初预算的0%，决算数小于年初预算数的主要原因是上年结转的湘西地区茶叶和天然饮用水公共品牌建设经费已使用单位资金支出，该项财政拨款已收回。</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FF0000"/>
          <w:sz w:val="32"/>
          <w:szCs w:val="32"/>
          <w:lang w:val="en-US" w:eastAsia="zh-CN"/>
        </w:rPr>
      </w:pPr>
      <w:r>
        <w:rPr>
          <w:rFonts w:hint="eastAsia" w:asciiTheme="minorEastAsia" w:hAnsiTheme="minorEastAsia" w:eastAsiaTheme="minorEastAsia"/>
          <w:color w:val="auto"/>
          <w:sz w:val="32"/>
          <w:szCs w:val="32"/>
          <w:lang w:val="en-US" w:eastAsia="zh-CN"/>
        </w:rPr>
        <w:t>2、科学技术支出（类）基础研究（款）自然科学基金（项）。该科目年初预算4.7万元，支出决算数3.31万元，完成年初预算的70.43%。决算数小于年初预算数的主要原因是年中追加孔口压滤间歇注浆机制研究项目资金。</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 xml:space="preserve">3、科学技术支出（类）应用研究（款）机构运行（项）。该科目年初预算数1157.47万元，支出决算数1157.47万元，完成年初预算的100%。 </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4、社会保障和就业支出（类）行政事业单位养老支出（款）机关事业单位基本养老保险支出（项）。该科目年初预算数198万元，支出决算数198万元，完成年初预算的100%.。</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 xml:space="preserve">5、社会保障和就业支出（类）行政事业单位养老支出（款）机关事业单位职业年金缴费支出（项）。该科目年初预算数107万元，支出决算数107万元，完成年初预算的100%。 </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6、农林水支出（类）水利（款）水利工程运行与维护（项）。该科目年初预算数70万元，支出决算数69.08万元，完成年初预算的98.69%。</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7、农林水支出（类）水利（款）水利前期工作（项）。该科目年初预算数219.3万元，支出决算数287.1万元，决算数大于年初预算数的主要原因是年中追加水利科技预算资金以及第三批省级新增水利预算资金，主要用于数字模拟技术在洞庭湖区水安全中的应用研究、洞庭湖区防洪设计水位研究、洞庭湖区堤防安全隐患快速探测及堤基防渗实用技术研究、洞庭湖区城乡供水网研究等。</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FF0000"/>
          <w:sz w:val="32"/>
          <w:szCs w:val="32"/>
          <w:lang w:val="en-US" w:eastAsia="zh-CN"/>
        </w:rPr>
      </w:pPr>
      <w:r>
        <w:rPr>
          <w:rFonts w:hint="eastAsia" w:asciiTheme="minorEastAsia" w:hAnsiTheme="minorEastAsia" w:eastAsiaTheme="minorEastAsia"/>
          <w:color w:val="auto"/>
          <w:sz w:val="32"/>
          <w:szCs w:val="32"/>
          <w:lang w:val="en-US" w:eastAsia="zh-CN"/>
        </w:rPr>
        <w:t>8、农林水支出（类）水利（款）水利技术推广（项）。该科目为追加指标，年初预算数0万元，支出决算数21.3万元，决算数大于年初预算数的主要原因是年中追加水利科技预算资金。</w:t>
      </w:r>
      <w:r>
        <w:rPr>
          <w:rFonts w:hint="eastAsia" w:asciiTheme="minorEastAsia" w:hAnsiTheme="minorEastAsia" w:eastAsiaTheme="minorEastAsia"/>
          <w:color w:val="FF0000"/>
          <w:sz w:val="32"/>
          <w:szCs w:val="32"/>
          <w:lang w:val="en-US" w:eastAsia="zh-CN"/>
        </w:rPr>
        <w:t xml:space="preserve"> </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 xml:space="preserve">9、住房保障支出（类）住房改革支出（款）住房公积金（项）。该科目年初预算数183万元，支出决算数183万元，完成年初预算的100%。 </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left"/>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10、住房保障支出（类）住房改革支出（款）购房补贴（项）。该科目年初预算数37.28万元，支出决算数37.28万元，完成年初预算的100%。</w:t>
      </w:r>
    </w:p>
    <w:p>
      <w:pPr>
        <w:pStyle w:val="9"/>
        <w:rPr>
          <w:rFonts w:hAnsi="黑体"/>
          <w:b/>
          <w:color w:val="auto"/>
          <w:sz w:val="32"/>
          <w:szCs w:val="32"/>
        </w:rPr>
      </w:pPr>
      <w:r>
        <w:rPr>
          <w:rFonts w:hint="eastAsia" w:hAnsi="黑体"/>
          <w:b/>
          <w:color w:val="auto"/>
          <w:sz w:val="32"/>
          <w:szCs w:val="32"/>
        </w:rPr>
        <w:t>六、一般公共预算财政拨款基本支出决算情况说明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财政拨款基本支出1682.75万元，其中：人员经费1682.75万元，占基本支出的100%，主要包括基本工资、津贴补贴、奖金、绩效工资、机关事业单位基本养老保险缴费、职业年金缴费、职工基本医疗保险缴费、其他社会保障缴费、住房公积金、其他工资福利支出、离休费、退休费、奖励金、其他对个人和家庭的补助；公用经费0万元，占基本支出的0%。</w:t>
      </w:r>
    </w:p>
    <w:p>
      <w:pPr>
        <w:pStyle w:val="9"/>
        <w:rPr>
          <w:rFonts w:hAnsi="黑体"/>
          <w:b/>
          <w:color w:val="auto"/>
          <w:sz w:val="32"/>
          <w:szCs w:val="32"/>
        </w:rPr>
      </w:pPr>
      <w:r>
        <w:rPr>
          <w:rFonts w:hint="eastAsia" w:hAnsi="黑体"/>
          <w:b/>
          <w:color w:val="auto"/>
          <w:sz w:val="32"/>
          <w:szCs w:val="32"/>
        </w:rPr>
        <w:t>七、一般公共预算财政拨款“三公”经费支出决算情况说明</w:t>
      </w:r>
    </w:p>
    <w:p>
      <w:pPr>
        <w:pStyle w:val="9"/>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（一）“三公”经费财政拨款支出决算总体情况说明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2021年度“三公”经费财政拨款支出预算为0万元，支出决算为0万元，由于预算数为0，无法计算百分比</w:t>
      </w:r>
      <w:r>
        <w:rPr>
          <w:rFonts w:hint="eastAsia" w:asciiTheme="minorEastAsia" w:hAnsiTheme="minorEastAsia" w:eastAsiaTheme="minorEastAsia"/>
          <w:color w:val="auto"/>
          <w:sz w:val="32"/>
          <w:szCs w:val="32"/>
          <w:lang w:val="en-US" w:eastAsia="zh-CN"/>
        </w:rPr>
        <w:t>，其中：</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因公出国（境）费支出预算为0万元，支出决算为0万元，由于预算数为0，无法计算百分比</w:t>
      </w:r>
      <w:r>
        <w:rPr>
          <w:rFonts w:hint="eastAsia" w:asciiTheme="minorEastAsia" w:hAnsiTheme="minorEastAsia" w:eastAsiaTheme="minorEastAsia"/>
          <w:color w:val="auto"/>
          <w:sz w:val="32"/>
          <w:szCs w:val="32"/>
          <w:lang w:val="en-US" w:eastAsia="zh-CN"/>
        </w:rPr>
        <w:t>，决算数与预算数一致，与上年相比无变动。</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公务接待费支出预算为0万元，支出决算为0万元，由于预算数为0，无法计算百分比</w:t>
      </w:r>
      <w:r>
        <w:rPr>
          <w:rFonts w:hint="eastAsia" w:asciiTheme="minorEastAsia" w:hAnsiTheme="minorEastAsia" w:eastAsiaTheme="minorEastAsia"/>
          <w:color w:val="auto"/>
          <w:sz w:val="32"/>
          <w:szCs w:val="32"/>
          <w:lang w:val="en-US" w:eastAsia="zh-CN"/>
        </w:rPr>
        <w:t>，决算数与预算数一致，与上年相比无变动。</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公务用车购置费支出预算为0万元，支出决算为0万元，由于预算数为0，无法计算百分比</w:t>
      </w:r>
      <w:r>
        <w:rPr>
          <w:rFonts w:hint="eastAsia" w:asciiTheme="minorEastAsia" w:hAnsiTheme="minorEastAsia" w:eastAsiaTheme="minorEastAsia"/>
          <w:color w:val="auto"/>
          <w:sz w:val="32"/>
          <w:szCs w:val="32"/>
          <w:lang w:val="en-US" w:eastAsia="zh-CN"/>
        </w:rPr>
        <w:t>，决算数与预算数一致，与上年相比无变动。</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公务用车运行维护费支出预算为0万元，支出决算为0万元，由于预算数为0，无法计算百分比</w:t>
      </w:r>
      <w:r>
        <w:rPr>
          <w:rFonts w:hint="eastAsia" w:asciiTheme="minorEastAsia" w:hAnsiTheme="minorEastAsia" w:eastAsiaTheme="minorEastAsia"/>
          <w:color w:val="auto"/>
          <w:sz w:val="32"/>
          <w:szCs w:val="32"/>
          <w:lang w:val="en-US" w:eastAsia="zh-CN"/>
        </w:rPr>
        <w:t>，决算数与预算数一致，与上年相比无变动。</w:t>
      </w:r>
    </w:p>
    <w:p>
      <w:pPr>
        <w:pStyle w:val="9"/>
        <w:rPr>
          <w:rFonts w:asciiTheme="minorEastAsia" w:hAnsiTheme="minorEastAsia" w:eastAsiaTheme="minorEastAsia"/>
          <w:b/>
          <w:color w:val="auto"/>
          <w:sz w:val="32"/>
          <w:szCs w:val="32"/>
        </w:rPr>
      </w:pPr>
      <w:r>
        <w:rPr>
          <w:rFonts w:hint="eastAsia" w:asciiTheme="minorEastAsia" w:hAnsiTheme="minorEastAsia" w:eastAsiaTheme="minorEastAsia"/>
          <w:b/>
          <w:color w:val="auto"/>
          <w:sz w:val="32"/>
          <w:szCs w:val="32"/>
        </w:rPr>
        <w:t>（二）“三公”经费财政拨款支出决算具体情况说明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2021年度“三公”经费财政拨款支出决算中，公务接待费支出决算0万元，因公出国（境）费支出决算0万元，公务用车购置费及运行维护费支出决算0万元。其中：</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1、因公出国（境）费支出决算为0万元，全年安排因公出国（境）团组0个，累计0人次。</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2、公务接待费支出决算为0万元，全年共接待来访团组0个、来宾0人次。</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3、公务用车购置费及运行维护费支出决算为0万元，其中：公务用车购置费0万元，购置公务用车0辆，</w:t>
      </w:r>
      <w:r>
        <w:rPr>
          <w:rFonts w:hint="eastAsia" w:asciiTheme="minorEastAsia" w:hAnsiTheme="minorEastAsia" w:eastAsiaTheme="minorEastAsia"/>
          <w:color w:val="auto"/>
          <w:sz w:val="32"/>
          <w:szCs w:val="32"/>
          <w:lang w:val="en-US" w:eastAsia="zh-CN"/>
        </w:rPr>
        <w:t>更新公务用车0辆。公务用车运行维护费0万元，截止2021年12月31日，我单位开支财政拨款的公务用车保有量为0辆。</w:t>
      </w:r>
    </w:p>
    <w:p>
      <w:pPr>
        <w:pStyle w:val="9"/>
        <w:rPr>
          <w:rFonts w:hAnsi="黑体"/>
          <w:b/>
          <w:color w:val="auto"/>
          <w:sz w:val="32"/>
          <w:szCs w:val="32"/>
        </w:rPr>
      </w:pPr>
      <w:r>
        <w:rPr>
          <w:rFonts w:hint="eastAsia" w:hAnsi="黑体"/>
          <w:b/>
          <w:color w:val="auto"/>
          <w:sz w:val="32"/>
          <w:szCs w:val="32"/>
        </w:rPr>
        <w:t>八、政府性基金预算收入支出决算情况</w:t>
      </w:r>
    </w:p>
    <w:p>
      <w:pPr>
        <w:pStyle w:val="9"/>
        <w:jc w:val="both"/>
        <w:rPr>
          <w:rFonts w:asciiTheme="minorEastAsia" w:hAnsiTheme="minorEastAsia" w:eastAsiaTheme="minorEastAsia"/>
          <w:i/>
          <w:color w:val="FF0000"/>
          <w:sz w:val="32"/>
          <w:szCs w:val="32"/>
        </w:rPr>
      </w:pPr>
      <w:r>
        <w:rPr>
          <w:rFonts w:hint="eastAsia" w:asciiTheme="minorEastAsia" w:hAnsiTheme="minorEastAsia" w:eastAsiaTheme="minorEastAsia"/>
          <w:color w:val="FF0000"/>
          <w:sz w:val="32"/>
          <w:szCs w:val="32"/>
        </w:rPr>
        <w:t xml:space="preserve">     </w:t>
      </w:r>
      <w:r>
        <w:rPr>
          <w:rFonts w:hint="eastAsia" w:asciiTheme="minorEastAsia" w:hAnsiTheme="minorEastAsia" w:eastAsiaTheme="minorEastAsia"/>
          <w:color w:val="auto"/>
          <w:sz w:val="32"/>
          <w:szCs w:val="32"/>
        </w:rPr>
        <w:t>2021年度政府性基金预算财政拨款收入</w:t>
      </w:r>
      <w:r>
        <w:rPr>
          <w:rFonts w:hint="eastAsia" w:asciiTheme="minorEastAsia" w:hAnsiTheme="minorEastAsia" w:eastAsiaTheme="minorEastAsia"/>
          <w:color w:val="auto"/>
          <w:sz w:val="32"/>
          <w:szCs w:val="32"/>
          <w:lang w:val="en-US" w:eastAsia="zh-CN"/>
        </w:rPr>
        <w:t>3147</w:t>
      </w:r>
      <w:r>
        <w:rPr>
          <w:rFonts w:hint="eastAsia" w:asciiTheme="minorEastAsia" w:hAnsiTheme="minorEastAsia" w:eastAsiaTheme="minorEastAsia"/>
          <w:color w:val="auto"/>
          <w:sz w:val="32"/>
          <w:szCs w:val="32"/>
        </w:rPr>
        <w:t>万元；年初结转和结余</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w:t>
      </w:r>
      <w:r>
        <w:rPr>
          <w:rFonts w:hint="eastAsia" w:asciiTheme="minorEastAsia" w:hAnsiTheme="minorEastAsia" w:eastAsiaTheme="minorEastAsia"/>
          <w:color w:val="auto"/>
          <w:sz w:val="32"/>
          <w:szCs w:val="32"/>
          <w:lang w:val="en-US" w:eastAsia="zh-CN"/>
        </w:rPr>
        <w:t>2940.20</w:t>
      </w:r>
      <w:r>
        <w:rPr>
          <w:rFonts w:hint="eastAsia" w:asciiTheme="minorEastAsia" w:hAnsiTheme="minorEastAsia" w:eastAsiaTheme="minorEastAsia"/>
          <w:color w:val="auto"/>
          <w:sz w:val="32"/>
          <w:szCs w:val="32"/>
        </w:rPr>
        <w:t>万元，其中基本支出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万元，项目支出</w:t>
      </w:r>
      <w:r>
        <w:rPr>
          <w:rFonts w:hint="eastAsia" w:asciiTheme="minorEastAsia" w:hAnsiTheme="minorEastAsia" w:eastAsiaTheme="minorEastAsia"/>
          <w:color w:val="auto"/>
          <w:sz w:val="32"/>
          <w:szCs w:val="32"/>
          <w:lang w:val="en-US" w:eastAsia="zh-CN"/>
        </w:rPr>
        <w:t>2040.2</w:t>
      </w:r>
      <w:r>
        <w:rPr>
          <w:rFonts w:hint="eastAsia" w:asciiTheme="minorEastAsia" w:hAnsiTheme="minorEastAsia" w:eastAsiaTheme="minorEastAsia"/>
          <w:color w:val="auto"/>
          <w:sz w:val="32"/>
          <w:szCs w:val="32"/>
        </w:rPr>
        <w:t>万元；年末结转和结余</w:t>
      </w:r>
      <w:r>
        <w:rPr>
          <w:rFonts w:hint="eastAsia" w:asciiTheme="minorEastAsia" w:hAnsiTheme="minorEastAsia" w:eastAsiaTheme="minorEastAsia"/>
          <w:color w:val="auto"/>
          <w:sz w:val="32"/>
          <w:szCs w:val="32"/>
          <w:lang w:val="en-US" w:eastAsia="zh-CN"/>
        </w:rPr>
        <w:t>206.80</w:t>
      </w:r>
      <w:r>
        <w:rPr>
          <w:rFonts w:hint="eastAsia" w:asciiTheme="minorEastAsia" w:hAnsiTheme="minorEastAsia" w:eastAsiaTheme="minorEastAsia"/>
          <w:color w:val="auto"/>
          <w:sz w:val="32"/>
          <w:szCs w:val="32"/>
        </w:rPr>
        <w:t>万元。具体情况如下：</w:t>
      </w:r>
    </w:p>
    <w:p>
      <w:pPr>
        <w:pStyle w:val="9"/>
        <w:ind w:firstLine="640" w:firstLineChars="200"/>
        <w:jc w:val="both"/>
        <w:rPr>
          <w:rFonts w:hint="eastAsia" w:asciiTheme="minorEastAsia" w:hAnsiTheme="minorEastAsia" w:eastAsiaTheme="minorEastAsia"/>
          <w:color w:val="FF0000"/>
          <w:sz w:val="32"/>
          <w:szCs w:val="32"/>
        </w:rPr>
      </w:pPr>
      <w:r>
        <w:rPr>
          <w:rFonts w:hint="eastAsia" w:asciiTheme="minorEastAsia" w:hAnsiTheme="minorEastAsia" w:eastAsiaTheme="minorEastAsia"/>
          <w:color w:val="auto"/>
          <w:sz w:val="32"/>
          <w:szCs w:val="32"/>
          <w:lang w:val="en-US" w:eastAsia="zh-CN"/>
        </w:rPr>
        <w:t>农林水支出</w:t>
      </w:r>
      <w:r>
        <w:rPr>
          <w:rFonts w:hint="eastAsia" w:asciiTheme="minorEastAsia" w:hAnsiTheme="minorEastAsia" w:eastAsiaTheme="minorEastAsia"/>
          <w:color w:val="auto"/>
          <w:sz w:val="32"/>
          <w:szCs w:val="32"/>
        </w:rPr>
        <w:t>（类）国家重大水利工程建设基金安排的支出（款）</w:t>
      </w:r>
      <w:r>
        <w:rPr>
          <w:rFonts w:hint="eastAsia" w:asciiTheme="minorEastAsia" w:hAnsiTheme="minorEastAsia" w:eastAsiaTheme="minorEastAsia"/>
          <w:color w:val="auto"/>
          <w:sz w:val="32"/>
          <w:szCs w:val="32"/>
          <w:lang w:val="en-US" w:eastAsia="zh-CN"/>
        </w:rPr>
        <w:t>三峡后续工作（项）</w:t>
      </w:r>
      <w:r>
        <w:rPr>
          <w:rFonts w:hint="eastAsia" w:asciiTheme="minorEastAsia" w:hAnsiTheme="minorEastAsia" w:eastAsiaTheme="minorEastAsia"/>
          <w:color w:val="auto"/>
          <w:sz w:val="32"/>
          <w:szCs w:val="32"/>
          <w:lang w:eastAsia="zh-CN"/>
        </w:rPr>
        <w:t>。该科目为追加指标，</w:t>
      </w:r>
      <w:r>
        <w:rPr>
          <w:rFonts w:hint="eastAsia" w:asciiTheme="minorEastAsia" w:hAnsiTheme="minorEastAsia" w:eastAsiaTheme="minorEastAsia"/>
          <w:color w:val="auto"/>
          <w:sz w:val="32"/>
          <w:szCs w:val="32"/>
        </w:rPr>
        <w:t>年初预算为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万元，支出决算为</w:t>
      </w:r>
      <w:r>
        <w:rPr>
          <w:rFonts w:hint="eastAsia" w:asciiTheme="minorEastAsia" w:hAnsiTheme="minorEastAsia" w:eastAsiaTheme="minorEastAsia"/>
          <w:color w:val="auto"/>
          <w:sz w:val="32"/>
          <w:szCs w:val="32"/>
          <w:lang w:val="en-US" w:eastAsia="zh-CN"/>
        </w:rPr>
        <w:t>2940.20</w:t>
      </w:r>
      <w:r>
        <w:rPr>
          <w:rFonts w:hint="eastAsia" w:asciiTheme="minorEastAsia" w:hAnsiTheme="minorEastAsia" w:eastAsiaTheme="minorEastAsia"/>
          <w:color w:val="auto"/>
          <w:sz w:val="32"/>
          <w:szCs w:val="32"/>
        </w:rPr>
        <w:t>万</w:t>
      </w:r>
      <w:r>
        <w:rPr>
          <w:rFonts w:hint="eastAsia" w:asciiTheme="minorEastAsia" w:hAnsiTheme="minorEastAsia" w:eastAsiaTheme="minorEastAsia"/>
          <w:color w:val="auto"/>
          <w:sz w:val="32"/>
          <w:szCs w:val="32"/>
          <w:lang w:eastAsia="zh-CN"/>
        </w:rPr>
        <w:t>元，决算数大于年初预算数的</w:t>
      </w:r>
      <w:r>
        <w:rPr>
          <w:rFonts w:hint="eastAsia" w:asciiTheme="minorEastAsia" w:hAnsiTheme="minorEastAsia" w:eastAsiaTheme="minorEastAsia"/>
          <w:color w:val="auto"/>
          <w:sz w:val="32"/>
          <w:szCs w:val="32"/>
          <w:lang w:val="en-US" w:eastAsia="zh-CN"/>
        </w:rPr>
        <w:t>主要原因是年中追加</w:t>
      </w:r>
      <w:r>
        <w:rPr>
          <w:rFonts w:hint="eastAsia" w:asciiTheme="minorEastAsia" w:hAnsiTheme="minorEastAsia" w:eastAsiaTheme="minorEastAsia"/>
          <w:color w:val="auto"/>
          <w:sz w:val="32"/>
          <w:szCs w:val="32"/>
          <w:lang w:eastAsia="zh-CN"/>
        </w:rPr>
        <w:t>三峡后期工作专项资金</w:t>
      </w:r>
      <w:r>
        <w:rPr>
          <w:rFonts w:hint="eastAsia" w:asciiTheme="minorEastAsia" w:hAnsiTheme="minorEastAsia" w:eastAsiaTheme="minorEastAsia"/>
          <w:color w:val="auto"/>
          <w:sz w:val="32"/>
          <w:szCs w:val="32"/>
          <w:lang w:val="en-US" w:eastAsia="zh-CN"/>
        </w:rPr>
        <w:t>。</w:t>
      </w:r>
    </w:p>
    <w:p>
      <w:pPr>
        <w:pStyle w:val="9"/>
        <w:rPr>
          <w:rFonts w:hint="eastAsia" w:hAnsi="黑体"/>
          <w:b/>
          <w:color w:val="auto"/>
          <w:sz w:val="32"/>
          <w:szCs w:val="32"/>
        </w:rPr>
      </w:pPr>
      <w:r>
        <w:rPr>
          <w:rFonts w:hint="eastAsia" w:hAnsi="黑体"/>
          <w:b/>
          <w:color w:val="auto"/>
          <w:sz w:val="32"/>
          <w:szCs w:val="32"/>
        </w:rPr>
        <w:t>九、机关运行经费支出说明</w:t>
      </w:r>
    </w:p>
    <w:p>
      <w:pPr>
        <w:pStyle w:val="9"/>
        <w:ind w:firstLine="640" w:firstLineChars="200"/>
        <w:jc w:val="both"/>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本单位是公益二类差额拨款事业单位，不是参照公务员法管理的事业单位，2021年度无机关运行经费支出。</w:t>
      </w:r>
    </w:p>
    <w:p>
      <w:pPr>
        <w:pStyle w:val="9"/>
        <w:rPr>
          <w:rFonts w:hAnsi="黑体"/>
          <w:b/>
          <w:sz w:val="32"/>
          <w:szCs w:val="32"/>
        </w:rPr>
      </w:pPr>
      <w:r>
        <w:rPr>
          <w:rFonts w:hint="eastAsia" w:hAnsi="黑体"/>
          <w:b/>
          <w:sz w:val="32"/>
          <w:szCs w:val="32"/>
        </w:rPr>
        <w:t>十、一般性支出情况说明</w:t>
      </w:r>
    </w:p>
    <w:p>
      <w:pPr>
        <w:pStyle w:val="9"/>
        <w:ind w:firstLine="640" w:firstLineChars="200"/>
        <w:jc w:val="both"/>
        <w:rPr>
          <w:rFonts w:hint="default"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1、会议费活动计划及经费预决算情况</w:t>
      </w:r>
    </w:p>
    <w:p>
      <w:pPr>
        <w:pStyle w:val="9"/>
        <w:ind w:firstLine="640" w:firstLineChars="200"/>
        <w:jc w:val="both"/>
        <w:rPr>
          <w:rFonts w:hint="eastAsia"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2021年本单位会议费预算2.53万元，开支会议费2.53万元，用于召开科研项目的开题咨询会3次、验收审查会2次，参加外单位举办的高峰论坛2次，共计7次，参会人数累计125人次。</w:t>
      </w:r>
    </w:p>
    <w:p>
      <w:pPr>
        <w:pStyle w:val="9"/>
        <w:ind w:firstLine="640" w:firstLineChars="200"/>
        <w:jc w:val="both"/>
        <w:rPr>
          <w:rFonts w:hint="default"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2、培训费活动计划及经费预决算情况</w:t>
      </w:r>
    </w:p>
    <w:p>
      <w:pPr>
        <w:pStyle w:val="9"/>
        <w:ind w:firstLine="640" w:firstLineChars="200"/>
        <w:jc w:val="both"/>
        <w:rPr>
          <w:rFonts w:hint="eastAsia"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2021年本单位培训费预算0.44万元，开支培训费0.44万元，主要用于参加外单位举办的研讨班，培训人员1人次，培训内容为河湖健康及河湖生态评价研究讨论。</w:t>
      </w:r>
    </w:p>
    <w:p>
      <w:pPr>
        <w:pStyle w:val="9"/>
        <w:ind w:firstLine="640" w:firstLineChars="200"/>
        <w:jc w:val="both"/>
        <w:rPr>
          <w:rFonts w:hint="eastAsia"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3、节庆、晚会、论坛、赛事等活动计划及经费预决算情况</w:t>
      </w:r>
    </w:p>
    <w:p>
      <w:pPr>
        <w:pStyle w:val="9"/>
        <w:ind w:firstLine="640" w:firstLineChars="200"/>
        <w:jc w:val="both"/>
        <w:rPr>
          <w:rFonts w:hint="default" w:asciiTheme="minorEastAsia" w:hAnsiTheme="minorEastAsia" w:eastAsiaTheme="minorEastAsia"/>
          <w:color w:val="auto"/>
          <w:sz w:val="32"/>
          <w:szCs w:val="32"/>
          <w:highlight w:val="none"/>
          <w:lang w:val="en-US" w:eastAsia="zh-CN"/>
        </w:rPr>
      </w:pPr>
      <w:r>
        <w:rPr>
          <w:rFonts w:hint="eastAsia" w:asciiTheme="minorEastAsia" w:hAnsiTheme="minorEastAsia" w:eastAsiaTheme="minorEastAsia"/>
          <w:color w:val="auto"/>
          <w:sz w:val="32"/>
          <w:szCs w:val="32"/>
          <w:highlight w:val="none"/>
          <w:lang w:val="en-US" w:eastAsia="zh-CN"/>
        </w:rPr>
        <w:t>2021年本单位无节庆、晚会、论坛、赛事等活动计划及经费预算和决算。</w:t>
      </w:r>
    </w:p>
    <w:p>
      <w:pPr>
        <w:pStyle w:val="9"/>
        <w:rPr>
          <w:rFonts w:hAnsi="黑体"/>
          <w:b/>
          <w:color w:val="auto"/>
          <w:sz w:val="32"/>
          <w:szCs w:val="32"/>
        </w:rPr>
      </w:pPr>
      <w:r>
        <w:rPr>
          <w:rFonts w:hint="eastAsia" w:hAnsi="黑体"/>
          <w:b/>
          <w:color w:val="auto"/>
          <w:sz w:val="32"/>
          <w:szCs w:val="32"/>
        </w:rPr>
        <w:t>十一、政府采购支出说明</w:t>
      </w:r>
    </w:p>
    <w:p>
      <w:pPr>
        <w:pStyle w:val="9"/>
        <w:ind w:firstLine="640" w:firstLineChars="200"/>
        <w:jc w:val="both"/>
        <w:rPr>
          <w:rFonts w:asciiTheme="minorEastAsia" w:hAnsiTheme="minorEastAsia" w:eastAsiaTheme="minorEastAsia"/>
          <w:color w:val="FF0000"/>
          <w:sz w:val="32"/>
          <w:szCs w:val="32"/>
        </w:rPr>
      </w:pPr>
      <w:r>
        <w:rPr>
          <w:rFonts w:hint="eastAsia" w:asciiTheme="minorEastAsia" w:hAnsiTheme="minorEastAsia" w:eastAsiaTheme="minorEastAsia"/>
          <w:color w:val="auto"/>
          <w:sz w:val="32"/>
          <w:szCs w:val="32"/>
        </w:rPr>
        <w:t>本</w:t>
      </w:r>
      <w:r>
        <w:rPr>
          <w:rFonts w:hint="eastAsia" w:asciiTheme="minorEastAsia" w:hAnsiTheme="minorEastAsia" w:eastAsiaTheme="minorEastAsia"/>
          <w:color w:val="auto"/>
          <w:sz w:val="32"/>
          <w:szCs w:val="32"/>
          <w:lang w:val="en-US" w:eastAsia="zh-CN"/>
        </w:rPr>
        <w:t>单位</w:t>
      </w:r>
      <w:r>
        <w:rPr>
          <w:rFonts w:hint="eastAsia" w:asciiTheme="minorEastAsia" w:hAnsiTheme="minorEastAsia" w:eastAsiaTheme="minorEastAsia"/>
          <w:color w:val="auto"/>
          <w:sz w:val="32"/>
          <w:szCs w:val="32"/>
        </w:rPr>
        <w:t>2021年度政府采购支出总额</w:t>
      </w:r>
      <w:r>
        <w:rPr>
          <w:rFonts w:hint="eastAsia" w:asciiTheme="minorEastAsia" w:hAnsiTheme="minorEastAsia" w:eastAsiaTheme="minorEastAsia"/>
          <w:color w:val="auto"/>
          <w:sz w:val="32"/>
          <w:szCs w:val="32"/>
          <w:lang w:val="en-US" w:eastAsia="zh-CN"/>
        </w:rPr>
        <w:t>4585.93</w:t>
      </w:r>
      <w:r>
        <w:rPr>
          <w:rFonts w:hint="eastAsia" w:asciiTheme="minorEastAsia" w:hAnsiTheme="minorEastAsia" w:eastAsiaTheme="minorEastAsia"/>
          <w:color w:val="auto"/>
          <w:sz w:val="32"/>
          <w:szCs w:val="32"/>
        </w:rPr>
        <w:t>元，其中：政府采购货物支出</w:t>
      </w:r>
      <w:r>
        <w:rPr>
          <w:rFonts w:hint="eastAsia" w:asciiTheme="minorEastAsia" w:hAnsiTheme="minorEastAsia" w:eastAsiaTheme="minorEastAsia"/>
          <w:color w:val="auto"/>
          <w:sz w:val="32"/>
          <w:szCs w:val="32"/>
          <w:lang w:val="en-US" w:eastAsia="zh-CN"/>
        </w:rPr>
        <w:t>120.36</w:t>
      </w:r>
      <w:r>
        <w:rPr>
          <w:rFonts w:hint="eastAsia" w:asciiTheme="minorEastAsia" w:hAnsiTheme="minorEastAsia" w:eastAsiaTheme="minorEastAsia"/>
          <w:color w:val="auto"/>
          <w:sz w:val="32"/>
          <w:szCs w:val="32"/>
        </w:rPr>
        <w:t>万元、政府采购工程支出</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万元、政府采购服务支出</w:t>
      </w:r>
      <w:r>
        <w:rPr>
          <w:rFonts w:hint="eastAsia" w:asciiTheme="minorEastAsia" w:hAnsiTheme="minorEastAsia" w:eastAsiaTheme="minorEastAsia"/>
          <w:color w:val="auto"/>
          <w:sz w:val="32"/>
          <w:szCs w:val="32"/>
          <w:lang w:val="en-US" w:eastAsia="zh-CN"/>
        </w:rPr>
        <w:t>4465.57</w:t>
      </w:r>
      <w:r>
        <w:rPr>
          <w:rFonts w:hint="eastAsia" w:asciiTheme="minorEastAsia" w:hAnsiTheme="minorEastAsia" w:eastAsiaTheme="minorEastAsia"/>
          <w:color w:val="auto"/>
          <w:sz w:val="32"/>
          <w:szCs w:val="32"/>
        </w:rPr>
        <w:t>万元。授予中小企业合同金额</w:t>
      </w:r>
      <w:r>
        <w:rPr>
          <w:rFonts w:hint="eastAsia" w:asciiTheme="minorEastAsia" w:hAnsiTheme="minorEastAsia" w:eastAsiaTheme="minorEastAsia"/>
          <w:color w:val="auto"/>
          <w:sz w:val="32"/>
          <w:szCs w:val="32"/>
          <w:lang w:val="en-US" w:eastAsia="zh-CN"/>
        </w:rPr>
        <w:t>3587.93</w:t>
      </w:r>
      <w:r>
        <w:rPr>
          <w:rFonts w:hint="eastAsia" w:asciiTheme="minorEastAsia" w:hAnsiTheme="minorEastAsia" w:eastAsiaTheme="minorEastAsia"/>
          <w:color w:val="auto"/>
          <w:sz w:val="32"/>
          <w:szCs w:val="32"/>
        </w:rPr>
        <w:t>万元，占政府采购支出总额的</w:t>
      </w:r>
      <w:r>
        <w:rPr>
          <w:rFonts w:hint="eastAsia" w:asciiTheme="minorEastAsia" w:hAnsiTheme="minorEastAsia" w:eastAsiaTheme="minorEastAsia"/>
          <w:color w:val="auto"/>
          <w:sz w:val="32"/>
          <w:szCs w:val="32"/>
          <w:lang w:val="en-US" w:eastAsia="zh-CN"/>
        </w:rPr>
        <w:t>78.24</w:t>
      </w:r>
      <w:r>
        <w:rPr>
          <w:rFonts w:hint="eastAsia" w:asciiTheme="minorEastAsia" w:hAnsiTheme="minorEastAsia" w:eastAsiaTheme="minorEastAsia"/>
          <w:color w:val="auto"/>
          <w:sz w:val="32"/>
          <w:szCs w:val="32"/>
        </w:rPr>
        <w:t>%，其中：授予小微企业合同金额</w:t>
      </w:r>
      <w:r>
        <w:rPr>
          <w:rFonts w:hint="eastAsia" w:asciiTheme="minorEastAsia" w:hAnsiTheme="minorEastAsia" w:eastAsiaTheme="minorEastAsia"/>
          <w:color w:val="auto"/>
          <w:sz w:val="32"/>
          <w:szCs w:val="32"/>
          <w:lang w:val="en-US" w:eastAsia="zh-CN"/>
        </w:rPr>
        <w:t>204.63</w:t>
      </w:r>
      <w:r>
        <w:rPr>
          <w:rFonts w:hint="eastAsia" w:asciiTheme="minorEastAsia" w:hAnsiTheme="minorEastAsia" w:eastAsiaTheme="minorEastAsia"/>
          <w:color w:val="auto"/>
          <w:sz w:val="32"/>
          <w:szCs w:val="32"/>
        </w:rPr>
        <w:t>万元，占授予中小企业合同金额的</w:t>
      </w:r>
      <w:r>
        <w:rPr>
          <w:rFonts w:hint="eastAsia" w:asciiTheme="minorEastAsia" w:hAnsiTheme="minorEastAsia" w:eastAsiaTheme="minorEastAsia"/>
          <w:color w:val="auto"/>
          <w:sz w:val="32"/>
          <w:szCs w:val="32"/>
          <w:lang w:val="en-US" w:eastAsia="zh-CN"/>
        </w:rPr>
        <w:t>5.7</w:t>
      </w:r>
      <w:r>
        <w:rPr>
          <w:rFonts w:hint="eastAsia" w:asciiTheme="minorEastAsia" w:hAnsiTheme="minorEastAsia" w:eastAsiaTheme="minorEastAsia"/>
          <w:color w:val="auto"/>
          <w:sz w:val="32"/>
          <w:szCs w:val="32"/>
        </w:rPr>
        <w:t>%；货物采购授予中小企业合同金额占货物支出金额的</w:t>
      </w:r>
      <w:r>
        <w:rPr>
          <w:rFonts w:hint="eastAsia" w:asciiTheme="minorEastAsia" w:hAnsiTheme="minorEastAsia" w:eastAsiaTheme="minorEastAsia"/>
          <w:color w:val="auto"/>
          <w:sz w:val="32"/>
          <w:szCs w:val="32"/>
          <w:lang w:val="en-US" w:eastAsia="zh-CN"/>
        </w:rPr>
        <w:t>100</w:t>
      </w:r>
      <w:r>
        <w:rPr>
          <w:rFonts w:hint="eastAsia" w:asciiTheme="minorEastAsia" w:hAnsiTheme="minorEastAsia" w:eastAsiaTheme="minorEastAsia"/>
          <w:color w:val="auto"/>
          <w:sz w:val="32"/>
          <w:szCs w:val="32"/>
        </w:rPr>
        <w:t>%</w:t>
      </w:r>
      <w:r>
        <w:rPr>
          <w:rFonts w:hint="eastAsia" w:asciiTheme="minorEastAsia" w:hAnsiTheme="minorEastAsia" w:eastAsiaTheme="minorEastAsia"/>
          <w:color w:val="auto"/>
          <w:sz w:val="32"/>
          <w:szCs w:val="32"/>
          <w:lang w:eastAsia="zh-CN"/>
        </w:rPr>
        <w:t>，</w:t>
      </w:r>
      <w:r>
        <w:rPr>
          <w:rFonts w:hint="eastAsia" w:asciiTheme="minorEastAsia" w:hAnsiTheme="minorEastAsia" w:eastAsiaTheme="minorEastAsia"/>
          <w:color w:val="auto"/>
          <w:sz w:val="32"/>
          <w:szCs w:val="32"/>
        </w:rPr>
        <w:t>服务采购授予中小企业合同金额占服务支出金额的</w:t>
      </w:r>
      <w:r>
        <w:rPr>
          <w:rFonts w:hint="eastAsia" w:asciiTheme="minorEastAsia" w:hAnsiTheme="minorEastAsia" w:eastAsiaTheme="minorEastAsia"/>
          <w:color w:val="auto"/>
          <w:sz w:val="32"/>
          <w:szCs w:val="32"/>
          <w:lang w:val="en-US" w:eastAsia="zh-CN"/>
        </w:rPr>
        <w:t>77.65</w:t>
      </w:r>
      <w:r>
        <w:rPr>
          <w:rFonts w:hint="eastAsia" w:asciiTheme="minorEastAsia" w:hAnsiTheme="minorEastAsia" w:eastAsiaTheme="minorEastAsia"/>
          <w:color w:val="auto"/>
          <w:sz w:val="32"/>
          <w:szCs w:val="32"/>
        </w:rPr>
        <w:t>%。</w:t>
      </w:r>
    </w:p>
    <w:p>
      <w:pPr>
        <w:pStyle w:val="9"/>
        <w:rPr>
          <w:rFonts w:hAnsi="黑体"/>
          <w:b/>
          <w:sz w:val="32"/>
          <w:szCs w:val="32"/>
        </w:rPr>
      </w:pPr>
      <w:r>
        <w:rPr>
          <w:rFonts w:hint="eastAsia" w:hAnsi="黑体"/>
          <w:b/>
          <w:sz w:val="32"/>
          <w:szCs w:val="32"/>
        </w:rPr>
        <w:t>十二、国有资产占用情况说明</w:t>
      </w:r>
    </w:p>
    <w:p>
      <w:pPr>
        <w:pStyle w:val="9"/>
        <w:ind w:firstLine="640" w:firstLineChars="200"/>
        <w:jc w:val="both"/>
        <w:rPr>
          <w:rFonts w:hint="eastAsia" w:asciiTheme="minorEastAsia" w:hAnsiTheme="minorEastAsia" w:eastAsiaTheme="minorEastAsia"/>
          <w:color w:val="auto"/>
          <w:sz w:val="32"/>
          <w:szCs w:val="32"/>
        </w:rPr>
      </w:pPr>
      <w:r>
        <w:rPr>
          <w:rFonts w:hint="eastAsia" w:asciiTheme="minorEastAsia" w:hAnsiTheme="minorEastAsia" w:eastAsiaTheme="minorEastAsia"/>
          <w:color w:val="auto"/>
          <w:sz w:val="32"/>
          <w:szCs w:val="32"/>
        </w:rPr>
        <w:t>截至2021年12月31日，单位共有车辆</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辆，其中，</w:t>
      </w:r>
      <w:r>
        <w:rPr>
          <w:rFonts w:hint="eastAsia" w:asciiTheme="minorEastAsia" w:hAnsiTheme="minorEastAsia" w:eastAsiaTheme="minorEastAsia"/>
          <w:sz w:val="32"/>
          <w:szCs w:val="32"/>
        </w:rPr>
        <w:t>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r>
        <w:rPr>
          <w:rFonts w:hint="eastAsia" w:asciiTheme="minorEastAsia" w:hAnsiTheme="minorEastAsia" w:eastAsiaTheme="minorEastAsia"/>
          <w:color w:val="auto"/>
          <w:sz w:val="32"/>
          <w:szCs w:val="32"/>
        </w:rPr>
        <w:t>其他用车</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辆，其他用车主要是</w:t>
      </w:r>
      <w:r>
        <w:rPr>
          <w:rFonts w:hint="eastAsia" w:asciiTheme="minorEastAsia" w:hAnsiTheme="minorEastAsia" w:eastAsiaTheme="minorEastAsia"/>
          <w:color w:val="auto"/>
          <w:sz w:val="32"/>
          <w:szCs w:val="32"/>
          <w:lang w:eastAsia="zh-CN"/>
        </w:rPr>
        <w:t>科研</w:t>
      </w:r>
      <w:r>
        <w:rPr>
          <w:rFonts w:hint="eastAsia" w:asciiTheme="minorEastAsia" w:hAnsiTheme="minorEastAsia" w:eastAsiaTheme="minorEastAsia"/>
          <w:color w:val="auto"/>
          <w:sz w:val="32"/>
          <w:szCs w:val="32"/>
          <w:lang w:val="en-US" w:eastAsia="zh-CN"/>
        </w:rPr>
        <w:t>业务用车</w:t>
      </w:r>
      <w:r>
        <w:rPr>
          <w:rFonts w:hint="eastAsia" w:asciiTheme="minorEastAsia" w:hAnsiTheme="minorEastAsia" w:eastAsiaTheme="minorEastAsia"/>
          <w:color w:val="auto"/>
          <w:sz w:val="32"/>
          <w:szCs w:val="32"/>
        </w:rPr>
        <w:t>；单位价值50万元以上通用设备</w:t>
      </w:r>
      <w:r>
        <w:rPr>
          <w:rFonts w:hint="eastAsia" w:asciiTheme="minorEastAsia" w:hAnsiTheme="minorEastAsia" w:eastAsiaTheme="minorEastAsia"/>
          <w:color w:val="auto"/>
          <w:sz w:val="32"/>
          <w:szCs w:val="32"/>
          <w:lang w:val="en-US" w:eastAsia="zh-CN"/>
        </w:rPr>
        <w:t>0</w:t>
      </w:r>
      <w:r>
        <w:rPr>
          <w:rFonts w:hint="eastAsia" w:asciiTheme="minorEastAsia" w:hAnsiTheme="minorEastAsia" w:eastAsiaTheme="minorEastAsia"/>
          <w:color w:val="auto"/>
          <w:sz w:val="32"/>
          <w:szCs w:val="32"/>
        </w:rPr>
        <w:t>台（套）；单位价值100万元以上专用设备</w:t>
      </w:r>
      <w:r>
        <w:rPr>
          <w:rFonts w:hint="eastAsia" w:asciiTheme="minorEastAsia" w:hAnsiTheme="minorEastAsia" w:eastAsiaTheme="minorEastAsia"/>
          <w:color w:val="auto"/>
          <w:sz w:val="32"/>
          <w:szCs w:val="32"/>
          <w:lang w:val="en-US" w:eastAsia="zh-CN"/>
        </w:rPr>
        <w:t>3</w:t>
      </w:r>
      <w:r>
        <w:rPr>
          <w:rFonts w:hint="eastAsia" w:asciiTheme="minorEastAsia" w:hAnsiTheme="minorEastAsia" w:eastAsiaTheme="minorEastAsia"/>
          <w:color w:val="auto"/>
          <w:sz w:val="32"/>
          <w:szCs w:val="32"/>
        </w:rPr>
        <w:t>台（套）。</w:t>
      </w:r>
    </w:p>
    <w:p>
      <w:pPr>
        <w:pStyle w:val="9"/>
        <w:rPr>
          <w:rFonts w:hAnsi="黑体"/>
          <w:b/>
          <w:color w:val="auto"/>
          <w:sz w:val="32"/>
          <w:szCs w:val="32"/>
        </w:rPr>
      </w:pPr>
      <w:r>
        <w:rPr>
          <w:rFonts w:hint="eastAsia" w:hAnsi="黑体"/>
          <w:b/>
          <w:color w:val="auto"/>
          <w:sz w:val="32"/>
          <w:szCs w:val="32"/>
        </w:rPr>
        <w:t>十三、2021年度预算绩效情况说明</w:t>
      </w:r>
    </w:p>
    <w:p>
      <w:pPr>
        <w:autoSpaceDE w:val="0"/>
        <w:autoSpaceDN w:val="0"/>
        <w:adjustRightInd w:val="0"/>
        <w:ind w:firstLine="640" w:firstLineChars="200"/>
        <w:jc w:val="left"/>
        <w:rPr>
          <w:rFonts w:cs="黑体" w:asciiTheme="minorEastAsia" w:hAnsiTheme="minorEastAsia"/>
          <w:color w:val="auto"/>
          <w:kern w:val="0"/>
          <w:sz w:val="32"/>
          <w:szCs w:val="32"/>
        </w:rPr>
      </w:pPr>
      <w:r>
        <w:rPr>
          <w:rFonts w:hint="eastAsia" w:cs="黑体" w:asciiTheme="minorEastAsia" w:hAnsiTheme="minorEastAsia"/>
          <w:b/>
          <w:color w:val="auto"/>
          <w:kern w:val="0"/>
          <w:sz w:val="32"/>
          <w:szCs w:val="32"/>
        </w:rPr>
        <w:t>（1）绩效管理评价工作开展情况</w:t>
      </w:r>
      <w:r>
        <w:rPr>
          <w:rFonts w:hint="eastAsia" w:cs="黑体" w:asciiTheme="minorEastAsia" w:hAnsiTheme="minorEastAsia"/>
          <w:color w:val="auto"/>
          <w:kern w:val="0"/>
          <w:sz w:val="32"/>
          <w:szCs w:val="32"/>
        </w:rPr>
        <w:t>。</w:t>
      </w:r>
    </w:p>
    <w:p>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w:t>
      </w:r>
      <w:r>
        <w:rPr>
          <w:rFonts w:hint="eastAsia" w:cs="黑体" w:asciiTheme="minorEastAsia" w:hAnsiTheme="minorEastAsia"/>
          <w:color w:val="000000"/>
          <w:kern w:val="0"/>
          <w:sz w:val="32"/>
          <w:szCs w:val="32"/>
          <w:lang w:eastAsia="zh-CN"/>
        </w:rPr>
        <w:t>单位</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年度一般公共预算项目支出全面开展绩效自评，其中，二级项目</w:t>
      </w:r>
      <w:r>
        <w:rPr>
          <w:rFonts w:hint="eastAsia" w:cs="黑体" w:asciiTheme="minorEastAsia" w:hAnsiTheme="minorEastAsia"/>
          <w:color w:val="000000"/>
          <w:kern w:val="0"/>
          <w:sz w:val="32"/>
          <w:szCs w:val="32"/>
          <w:lang w:val="en-US" w:eastAsia="zh-CN"/>
        </w:rPr>
        <w:t>40</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380.79</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cs="黑体" w:asciiTheme="minorEastAsia" w:hAnsiTheme="minorEastAsia"/>
          <w:color w:val="000000"/>
          <w:kern w:val="0"/>
          <w:sz w:val="32"/>
          <w:szCs w:val="32"/>
        </w:rPr>
        <w:t>2021</w:t>
      </w:r>
      <w:r>
        <w:rPr>
          <w:rFonts w:hint="eastAsia" w:cs="黑体" w:asciiTheme="minorEastAsia" w:hAnsiTheme="minorEastAsia"/>
          <w:color w:val="000000"/>
          <w:kern w:val="0"/>
          <w:sz w:val="32"/>
          <w:szCs w:val="32"/>
        </w:rPr>
        <w:t>年度</w:t>
      </w:r>
      <w:r>
        <w:rPr>
          <w:rFonts w:hint="eastAsia" w:cs="黑体" w:asciiTheme="minorEastAsia" w:hAnsiTheme="minorEastAsia"/>
          <w:color w:val="000000"/>
          <w:kern w:val="0"/>
          <w:sz w:val="32"/>
          <w:szCs w:val="32"/>
          <w:lang w:eastAsia="zh-CN"/>
        </w:rPr>
        <w:t>三峡后续工作</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1</w:t>
      </w:r>
      <w:r>
        <w:rPr>
          <w:rFonts w:hint="eastAsia" w:cs="黑体" w:asciiTheme="minorEastAsia" w:hAnsiTheme="minorEastAsia"/>
          <w:color w:val="000000"/>
          <w:kern w:val="0"/>
          <w:sz w:val="32"/>
          <w:szCs w:val="32"/>
        </w:rPr>
        <w:t>个政府性基金预算项目支出开展绩效自评，共涉及资金</w:t>
      </w:r>
      <w:r>
        <w:rPr>
          <w:rFonts w:hint="eastAsia" w:cs="黑体" w:asciiTheme="minorEastAsia" w:hAnsiTheme="minorEastAsia"/>
          <w:color w:val="000000"/>
          <w:kern w:val="0"/>
          <w:sz w:val="32"/>
          <w:szCs w:val="32"/>
          <w:lang w:val="en-US" w:eastAsia="zh-CN"/>
        </w:rPr>
        <w:t>2940.20</w:t>
      </w:r>
      <w:r>
        <w:rPr>
          <w:rFonts w:hint="eastAsia" w:cs="黑体" w:asciiTheme="minorEastAsia" w:hAnsiTheme="minorEastAsia"/>
          <w:color w:val="000000"/>
          <w:kern w:val="0"/>
          <w:sz w:val="32"/>
          <w:szCs w:val="32"/>
        </w:rPr>
        <w:t>万元，占政府性基金预算项目支出总额的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r>
        <w:rPr>
          <w:rFonts w:hint="eastAsia" w:cs="黑体" w:asciiTheme="minorEastAsia" w:hAnsiTheme="minorEastAsia"/>
          <w:color w:val="000000"/>
          <w:kern w:val="0"/>
          <w:sz w:val="32"/>
          <w:szCs w:val="32"/>
          <w:lang w:eastAsia="zh-CN"/>
        </w:rPr>
        <w:t>无国有资本经营预算项目支出</w:t>
      </w:r>
      <w:r>
        <w:rPr>
          <w:rFonts w:hint="eastAsia" w:cs="黑体" w:asciiTheme="minorEastAsia" w:hAnsiTheme="minorEastAsia"/>
          <w:color w:val="000000"/>
          <w:kern w:val="0"/>
          <w:sz w:val="32"/>
          <w:szCs w:val="32"/>
        </w:rPr>
        <w:t>。</w:t>
      </w:r>
    </w:p>
    <w:p>
      <w:pPr>
        <w:numPr>
          <w:ilvl w:val="0"/>
          <w:numId w:val="3"/>
        </w:numPr>
        <w:autoSpaceDE w:val="0"/>
        <w:autoSpaceDN w:val="0"/>
        <w:adjustRightInd w:val="0"/>
        <w:ind w:firstLine="640" w:firstLineChars="200"/>
        <w:jc w:val="left"/>
        <w:rPr>
          <w:rFonts w:hint="eastAsia" w:cs="黑体" w:asciiTheme="minorEastAsia" w:hAnsiTheme="minorEastAsia"/>
          <w:b/>
          <w:color w:val="auto"/>
          <w:kern w:val="0"/>
          <w:sz w:val="32"/>
          <w:szCs w:val="32"/>
          <w:lang w:eastAsia="zh-CN"/>
        </w:rPr>
      </w:pPr>
      <w:r>
        <w:rPr>
          <w:rFonts w:hint="eastAsia" w:cs="黑体" w:asciiTheme="minorEastAsia" w:hAnsiTheme="minorEastAsia"/>
          <w:b/>
          <w:color w:val="auto"/>
          <w:kern w:val="0"/>
          <w:sz w:val="32"/>
          <w:szCs w:val="32"/>
          <w:lang w:eastAsia="zh-CN"/>
        </w:rPr>
        <w:t>单位决算中项目绩效自评结果。</w:t>
      </w:r>
    </w:p>
    <w:p>
      <w:pPr>
        <w:autoSpaceDE w:val="0"/>
        <w:autoSpaceDN w:val="0"/>
        <w:adjustRightInd w:val="0"/>
        <w:ind w:firstLine="640" w:firstLineChars="200"/>
        <w:jc w:val="left"/>
        <w:rPr>
          <w:rFonts w:hint="eastAsia" w:cs="黑体" w:asciiTheme="minorEastAsia" w:hAnsiTheme="minorEastAsia"/>
          <w:color w:val="000000"/>
          <w:kern w:val="0"/>
          <w:sz w:val="32"/>
          <w:szCs w:val="32"/>
          <w:lang w:eastAsia="zh-CN"/>
        </w:rPr>
      </w:pPr>
      <w:r>
        <w:rPr>
          <w:rFonts w:hint="eastAsia" w:cs="黑体" w:asciiTheme="minorEastAsia" w:hAnsiTheme="minorEastAsia"/>
          <w:color w:val="000000"/>
          <w:kern w:val="0"/>
          <w:sz w:val="32"/>
          <w:szCs w:val="32"/>
          <w:lang w:eastAsia="zh-CN"/>
        </w:rPr>
        <w:t>无单位决算中项目绩效自评结果。</w:t>
      </w:r>
    </w:p>
    <w:p>
      <w:pPr>
        <w:numPr>
          <w:ilvl w:val="0"/>
          <w:numId w:val="3"/>
        </w:numPr>
        <w:autoSpaceDE w:val="0"/>
        <w:autoSpaceDN w:val="0"/>
        <w:adjustRightInd w:val="0"/>
        <w:ind w:firstLine="640" w:firstLineChars="200"/>
        <w:jc w:val="left"/>
        <w:rPr>
          <w:rFonts w:hint="eastAsia" w:cs="黑体" w:asciiTheme="minorEastAsia" w:hAnsiTheme="minorEastAsia"/>
          <w:b/>
          <w:color w:val="auto"/>
          <w:kern w:val="0"/>
          <w:sz w:val="32"/>
          <w:szCs w:val="32"/>
          <w:lang w:eastAsia="zh-CN"/>
        </w:rPr>
      </w:pPr>
      <w:r>
        <w:rPr>
          <w:rFonts w:hint="eastAsia" w:cs="黑体" w:asciiTheme="minorEastAsia" w:hAnsiTheme="minorEastAsia"/>
          <w:b/>
          <w:color w:val="auto"/>
          <w:kern w:val="0"/>
          <w:sz w:val="32"/>
          <w:szCs w:val="32"/>
          <w:lang w:eastAsia="zh-CN"/>
        </w:rPr>
        <w:t>单位整体支出绩效自评结果。</w:t>
      </w:r>
    </w:p>
    <w:p>
      <w:pPr>
        <w:pStyle w:val="9"/>
        <w:ind w:firstLine="640" w:firstLineChars="200"/>
        <w:jc w:val="both"/>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根据绩效自评要求，分别设置投入、过程、产出和效果四个一级指标，从目标设定、预算配置、预算执行、预算管理、资产管理、职责履行、履职效益等七个方面对单位整体支出绩效开展了自评，自评得分92.88分。</w:t>
      </w:r>
    </w:p>
    <w:p>
      <w:pPr>
        <w:pStyle w:val="9"/>
        <w:ind w:firstLine="640" w:firstLineChars="200"/>
        <w:jc w:val="both"/>
        <w:rPr>
          <w:rFonts w:hint="eastAsia" w:asciiTheme="minorEastAsia" w:hAnsiTheme="minorEastAsia" w:eastAsiaTheme="minorEastAsia"/>
          <w:color w:val="auto"/>
          <w:sz w:val="32"/>
          <w:szCs w:val="32"/>
          <w:lang w:val="en-US" w:eastAsia="zh-CN"/>
        </w:rPr>
      </w:pPr>
      <w:r>
        <w:rPr>
          <w:rFonts w:hint="eastAsia" w:asciiTheme="minorEastAsia" w:hAnsiTheme="minorEastAsia" w:eastAsiaTheme="minorEastAsia"/>
          <w:color w:val="auto"/>
          <w:sz w:val="32"/>
          <w:szCs w:val="32"/>
          <w:lang w:val="en-US" w:eastAsia="zh-CN"/>
        </w:rPr>
        <w:t>2021年度整体支出绩效自评报告内容详见第五部分附件。</w:t>
      </w:r>
    </w:p>
    <w:p>
      <w:pPr>
        <w:pStyle w:val="9"/>
        <w:jc w:val="center"/>
        <w:rPr>
          <w:sz w:val="72"/>
          <w:szCs w:val="72"/>
        </w:rPr>
      </w:pPr>
    </w:p>
    <w:p>
      <w:pPr>
        <w:pStyle w:val="9"/>
        <w:rPr>
          <w:sz w:val="72"/>
          <w:szCs w:val="72"/>
        </w:rPr>
      </w:pPr>
    </w:p>
    <w:p>
      <w:pPr>
        <w:pStyle w:val="9"/>
        <w:rPr>
          <w:sz w:val="72"/>
          <w:szCs w:val="72"/>
        </w:rPr>
      </w:pPr>
    </w:p>
    <w:p>
      <w:pPr>
        <w:pStyle w:val="9"/>
        <w:jc w:val="center"/>
        <w:rPr>
          <w:sz w:val="72"/>
          <w:szCs w:val="72"/>
        </w:rPr>
      </w:pPr>
    </w:p>
    <w:p>
      <w:pPr>
        <w:rPr>
          <w:rFonts w:hint="eastAsia"/>
          <w:sz w:val="72"/>
          <w:szCs w:val="72"/>
        </w:rPr>
      </w:pPr>
      <w:r>
        <w:rPr>
          <w:rFonts w:hint="eastAsia"/>
          <w:sz w:val="72"/>
          <w:szCs w:val="72"/>
        </w:rPr>
        <w:br w:type="page"/>
      </w: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rFonts w:hint="eastAsia"/>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一、财政拨款收入：指单位本年度从省级财政部门取得的财政拨款。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二、事业收入：指事业单位开展专业业务活动及辅助活动取得的收入。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三、经营收入：指事业单位在专业业务活动及其辅助活动之外开展非独立核算经营活动取得的收入。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四、其他收入：指单位取得的除上述收入以外的各项收入。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五、基本支出：指为保障机构正常运转、完成日常工作任务而发生的人员支出和公用支出。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五、项目支出：指在基本支出之外为完成特定的行政任务或事业发展目标所发生的支出。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六、年初结转和结余：指单位上年结转本年使用的基本支出结转、项目支出结转和结余和经营结余。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七、结余分配：指事业单位按照会计制度规定缴纳的所得税以及从本年财政拨款结余或经营结余中转入各类基金的金额。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八、年末结转和结余：指单位按有关规定结转到下年或以后年度继续使用的资金。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九、农林水支出（类）水利（款）水利工程运行与维护（项）：反映水利系统用于江、河、湖、滩等治理工程运行与维护方面的支出，以及纳入预算管理的水利工程管理单位的支出。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十、农林水支出（类）水利（款）水利前期工作（项）：反映水利规划、勘测、设计科研及相关管理办法编制、资料整编，设备购置等基础性前期工作的支出。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十一、农林水支出（类）水利（款）水利技术推广（项）：反映水利系统纳入预算管理的技术推广事业单位的支出。有关事项包括国内外先进水利技术的引进、试验、技术创新、推广、应用、宣传等。 </w:t>
      </w:r>
    </w:p>
    <w:p>
      <w:pPr>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十二、社会保障和就业支出(类)行政事业单位养老支出（款）机关事业单位基本养老保险缴费支出（项）：反映机关事业单位实施养老保险制度由单位缴纳的基本养老保险费支出。</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十三、住房保障支出（类）住房改革支出（款）：反映行政事 业单位用财政拨款资金和其他资金等安排的住房改革支出。住房公积金（项）：反映行政事业单位按人力资源和社会保障部、财政部和省财政厅规定的基本工资和津贴补贴以及规定比例为职工缴纳的住房公积金。购房补贴（项）：反映按房改政策规定，行政事业单位向符合条件职工（含离退休人员）发放的用于购买住房的补贴。 </w:t>
      </w:r>
    </w:p>
    <w:p>
      <w:pPr>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 xml:space="preserve">十四、机关运行经费：是指机关及参公管理事业单位的公用经费，包括办公及印刷费、邮电费、差旅费、会议费、福利费、日常维修费、专用资料及一般设备购置费、办公用房水电费、办公用房取暖费、办公用房物业管理费、公务用车运行维护费以及其他费用。 </w:t>
      </w:r>
    </w:p>
    <w:p>
      <w:pPr>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十五、“三公”经费：纳入省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十六、政府采购：是指本单位纳入2021年度部门预算范围的各项政府采购支出金额之和，不包括涉密采购项目的支出金额。</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eastAsia="方正小标宋_GBK"/>
          <w:color w:val="auto"/>
          <w:sz w:val="48"/>
          <w:szCs w:val="48"/>
        </w:rPr>
      </w:pPr>
      <w:r>
        <w:rPr>
          <w:rFonts w:hint="eastAsia" w:ascii="方正小标宋_GBK" w:hAnsi="方正小标宋_GBK" w:eastAsia="方正小标宋_GBK"/>
          <w:color w:val="auto"/>
          <w:sz w:val="48"/>
          <w:szCs w:val="48"/>
          <w:lang w:val="en-US" w:eastAsia="zh-CN"/>
        </w:rPr>
        <w:t>2021</w:t>
      </w:r>
      <w:r>
        <w:rPr>
          <w:rFonts w:ascii="方正小标宋_GBK" w:hAnsi="方正小标宋_GBK" w:eastAsia="方正小标宋_GBK"/>
          <w:color w:val="auto"/>
          <w:sz w:val="48"/>
          <w:szCs w:val="48"/>
        </w:rPr>
        <w:t>年度</w:t>
      </w:r>
      <w:r>
        <w:rPr>
          <w:rFonts w:hint="eastAsia" w:eastAsia="方正小标宋_GBK"/>
          <w:color w:val="auto"/>
          <w:sz w:val="48"/>
          <w:szCs w:val="48"/>
          <w:lang w:eastAsia="zh-CN"/>
        </w:rPr>
        <w:t>湖南省水利水电科学研究院</w:t>
      </w:r>
      <w:r>
        <w:rPr>
          <w:rFonts w:ascii="方正小标宋_GBK" w:hAnsi="方正小标宋_GBK" w:eastAsia="方正小标宋_GBK"/>
          <w:color w:val="auto"/>
          <w:sz w:val="48"/>
          <w:szCs w:val="48"/>
        </w:rPr>
        <w:t>整体支出绩效自评报告</w:t>
      </w:r>
    </w:p>
    <w:p>
      <w:pPr>
        <w:pStyle w:val="12"/>
        <w:keepNext w:val="0"/>
        <w:keepLines w:val="0"/>
        <w:pageBreakBefore w:val="0"/>
        <w:widowControl/>
        <w:numPr>
          <w:ilvl w:val="0"/>
          <w:numId w:val="4"/>
        </w:numPr>
        <w:kinsoku/>
        <w:wordWrap/>
        <w:overflowPunct/>
        <w:topLinePunct w:val="0"/>
        <w:bidi w:val="0"/>
        <w:adjustRightInd/>
        <w:snapToGrid/>
        <w:spacing w:line="560" w:lineRule="exact"/>
        <w:ind w:firstLineChars="0"/>
        <w:textAlignment w:val="auto"/>
        <w:rPr>
          <w:rFonts w:ascii="Times New Roman" w:hAnsi="Times New Roman" w:eastAsia="黑体" w:cs="Times New Roman"/>
          <w:color w:val="auto"/>
          <w:sz w:val="32"/>
          <w:szCs w:val="32"/>
        </w:rPr>
      </w:pPr>
      <w:r>
        <w:rPr>
          <w:rFonts w:ascii="黑体" w:hAnsi="黑体" w:eastAsia="黑体" w:cs="Times New Roman"/>
          <w:color w:val="auto"/>
          <w:sz w:val="32"/>
          <w:szCs w:val="32"/>
        </w:rPr>
        <w:t>单位基本情况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湖南省水利水电科学研究院（以下简称“我院”）是省级公益二类差额拨款事业单位，是湖南省水利行业唯一具有独立法人资格的公益类科研机构，执行政府会计制度。</w:t>
      </w:r>
    </w:p>
    <w:p>
      <w:pPr>
        <w:pStyle w:val="12"/>
        <w:keepNext w:val="0"/>
        <w:keepLines w:val="0"/>
        <w:pageBreakBefore w:val="0"/>
        <w:widowControl/>
        <w:numPr>
          <w:ilvl w:val="0"/>
          <w:numId w:val="5"/>
        </w:numPr>
        <w:kinsoku/>
        <w:wordWrap/>
        <w:overflowPunct/>
        <w:topLinePunct w:val="0"/>
        <w:bidi w:val="0"/>
        <w:adjustRightInd/>
        <w:snapToGrid/>
        <w:spacing w:line="560" w:lineRule="exact"/>
        <w:ind w:left="1720" w:hanging="1080" w:firstLineChars="0"/>
        <w:jc w:val="left"/>
        <w:textAlignment w:val="auto"/>
        <w:rPr>
          <w:rFonts w:hint="default" w:ascii="黑体" w:hAnsi="黑体" w:eastAsia="黑体" w:cs="Times New Roman"/>
          <w:color w:val="auto"/>
          <w:sz w:val="32"/>
          <w:szCs w:val="32"/>
          <w:lang w:val="en-US" w:eastAsia="zh-CN"/>
        </w:rPr>
      </w:pPr>
      <w:r>
        <w:rPr>
          <w:rFonts w:hint="default" w:ascii="黑体" w:hAnsi="黑体" w:eastAsia="黑体" w:cs="Times New Roman"/>
          <w:color w:val="auto"/>
          <w:sz w:val="32"/>
          <w:szCs w:val="32"/>
          <w:lang w:val="en-US" w:eastAsia="zh-CN"/>
        </w:rPr>
        <w:t>机构设置及主要职能情况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我院内设办公室、党务人事部、财务部、科研生产管理部4个职能科室，内设大坝安全监测中心、水资源研究中心、灌溉试验中心、水土保持与生态水利研究所、防灾减灾研究所、水利发展规划研究所、河流泥沙研究所、检测试验中心（水利科技推广中心）8个科研部门。</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我院主要工作职责是：承担水利水电基础性科学技术研究工作；承担水利水电工程新技术、新材料和新工艺等方面的研究与推广应用工作；承担灌溉试验研究和技术指导工作；开展水资源保护与管理、水库大坝运行管理安全监测和安全评价等技术服务工作；开展水利水电基础性科学技术研究及工程建设相关的技术咨询工作；承担水利厅交办的其他工作。</w:t>
      </w:r>
    </w:p>
    <w:p>
      <w:pPr>
        <w:pStyle w:val="12"/>
        <w:keepNext w:val="0"/>
        <w:keepLines w:val="0"/>
        <w:pageBreakBefore w:val="0"/>
        <w:widowControl/>
        <w:numPr>
          <w:ilvl w:val="0"/>
          <w:numId w:val="5"/>
        </w:numPr>
        <w:kinsoku/>
        <w:wordWrap/>
        <w:overflowPunct/>
        <w:topLinePunct w:val="0"/>
        <w:bidi w:val="0"/>
        <w:adjustRightInd/>
        <w:snapToGrid/>
        <w:spacing w:line="560" w:lineRule="exact"/>
        <w:ind w:left="1720" w:hanging="1080" w:firstLineChars="0"/>
        <w:textAlignment w:val="auto"/>
        <w:rPr>
          <w:rFonts w:hint="default" w:ascii="黑体" w:hAnsi="黑体" w:eastAsia="黑体" w:cs="Times New Roman"/>
          <w:color w:val="auto"/>
          <w:sz w:val="32"/>
          <w:szCs w:val="32"/>
          <w:lang w:val="en-US" w:eastAsia="zh-CN"/>
        </w:rPr>
      </w:pPr>
      <w:r>
        <w:rPr>
          <w:rFonts w:hint="default" w:ascii="黑体" w:hAnsi="黑体" w:eastAsia="黑体" w:cs="Times New Roman"/>
          <w:color w:val="auto"/>
          <w:sz w:val="32"/>
          <w:szCs w:val="32"/>
          <w:lang w:val="en-US" w:eastAsia="zh-CN"/>
        </w:rPr>
        <w:t>人员情况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截止2021年底，我院核定差额拨款事业编制120名，实有在编在岗人员107人，离休人员1人，退休人员46人。</w:t>
      </w:r>
    </w:p>
    <w:p>
      <w:pPr>
        <w:pStyle w:val="12"/>
        <w:keepNext w:val="0"/>
        <w:keepLines w:val="0"/>
        <w:pageBreakBefore w:val="0"/>
        <w:widowControl/>
        <w:numPr>
          <w:ilvl w:val="0"/>
          <w:numId w:val="5"/>
        </w:numPr>
        <w:kinsoku/>
        <w:wordWrap/>
        <w:overflowPunct/>
        <w:topLinePunct w:val="0"/>
        <w:bidi w:val="0"/>
        <w:adjustRightInd/>
        <w:snapToGrid/>
        <w:spacing w:line="560" w:lineRule="exact"/>
        <w:ind w:left="1720" w:hanging="1080" w:firstLineChars="0"/>
        <w:jc w:val="left"/>
        <w:textAlignment w:val="auto"/>
        <w:rPr>
          <w:rFonts w:hint="default" w:ascii="黑体" w:hAnsi="黑体" w:eastAsia="黑体" w:cs="Times New Roman"/>
          <w:color w:val="auto"/>
          <w:sz w:val="32"/>
          <w:szCs w:val="32"/>
          <w:lang w:eastAsia="zh-CN"/>
        </w:rPr>
      </w:pPr>
      <w:r>
        <w:rPr>
          <w:rFonts w:ascii="黑体" w:hAnsi="黑体" w:eastAsia="黑体" w:cs="Times New Roman"/>
          <w:color w:val="auto"/>
          <w:sz w:val="32"/>
          <w:szCs w:val="32"/>
        </w:rPr>
        <w:t>单位年度整体支出绩效目标</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完成上级单位交办的各项任务，完成年度绩效考核指标。加强支部组织建设；加强党风廉政建设；加强群团组织建设；全面开展精神文明创建工作；完成培训交流学习等工作；完成职称申报、人员招聘工作；加强水利科研人才队伍建设。完成年度科研生产目标任务，开展水利基础数据、水库大坝安全管理、水资源管理、灌溉试验、水土保持、河湖管理、防灾减灾等水利水电相关业务的技术研究与咨询服务工作。力争打造一批省内一流、具有较高的知名度、美誉度、公认度的品牌成果；形成一支精诚团结、严谨高效的水利科研服务团队。</w:t>
      </w:r>
    </w:p>
    <w:p>
      <w:pPr>
        <w:pStyle w:val="12"/>
        <w:keepNext w:val="0"/>
        <w:keepLines w:val="0"/>
        <w:pageBreakBefore w:val="0"/>
        <w:widowControl/>
        <w:numPr>
          <w:ilvl w:val="0"/>
          <w:numId w:val="4"/>
        </w:numPr>
        <w:kinsoku/>
        <w:wordWrap/>
        <w:overflowPunct/>
        <w:topLinePunct w:val="0"/>
        <w:bidi w:val="0"/>
        <w:adjustRightInd/>
        <w:snapToGrid/>
        <w:spacing w:line="560" w:lineRule="exact"/>
        <w:ind w:firstLineChars="0"/>
        <w:textAlignment w:val="auto"/>
        <w:rPr>
          <w:rFonts w:ascii="黑体" w:hAnsi="黑体" w:eastAsia="黑体" w:cs="Times New Roman"/>
          <w:color w:val="auto"/>
          <w:sz w:val="32"/>
          <w:szCs w:val="32"/>
        </w:rPr>
      </w:pPr>
      <w:r>
        <w:rPr>
          <w:rFonts w:ascii="黑体" w:hAnsi="黑体" w:eastAsia="黑体" w:cs="Times New Roman"/>
          <w:color w:val="auto"/>
          <w:sz w:val="32"/>
          <w:szCs w:val="32"/>
        </w:rPr>
        <w:t>一般公共预算支出情况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2021年我院一般公共预算支出总预算数2679.31万元，决算数2063.54万元。其中基本支出决算1682.75万元，占总支出的81.55%；项目支出决算380.79万元，占总支出的18.45%。当年结转结余资金615.77万元。</w:t>
      </w:r>
    </w:p>
    <w:p>
      <w:pPr>
        <w:pStyle w:val="12"/>
        <w:keepNext w:val="0"/>
        <w:keepLines w:val="0"/>
        <w:pageBreakBefore w:val="0"/>
        <w:widowControl/>
        <w:numPr>
          <w:ilvl w:val="0"/>
          <w:numId w:val="6"/>
        </w:numPr>
        <w:kinsoku/>
        <w:wordWrap/>
        <w:overflowPunct/>
        <w:topLinePunct w:val="0"/>
        <w:bidi w:val="0"/>
        <w:adjustRightInd/>
        <w:snapToGrid/>
        <w:spacing w:line="560" w:lineRule="exact"/>
        <w:ind w:firstLineChars="0"/>
        <w:textAlignment w:val="auto"/>
        <w:rPr>
          <w:rFonts w:ascii="黑体" w:hAnsi="黑体" w:eastAsia="黑体" w:cs="Times New Roman"/>
          <w:color w:val="auto"/>
          <w:sz w:val="32"/>
          <w:szCs w:val="32"/>
        </w:rPr>
      </w:pPr>
      <w:r>
        <w:rPr>
          <w:rFonts w:ascii="黑体" w:hAnsi="黑体" w:eastAsia="黑体" w:cs="Times New Roman"/>
          <w:color w:val="auto"/>
          <w:sz w:val="32"/>
          <w:szCs w:val="32"/>
        </w:rPr>
        <w:t>基本支出情况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基本支出主要是保障我院正常运转、完成日常性工作而产生的各项支出，包括基本工资、津贴补贴、社会保障缴费等人员经费、离退休费用、其他对个人和家庭的补助支出。</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一般公共预算财政拨款的基本支出预算数1682.75万元。其中工资福利支出1656.95万元，商品和服务支出0万元，对个人和家庭补助25.8万元。当年一般公共预算拨款基本支出决算数1682.75万元，较上年减少229.32万元，主要是纳入一般公共预算管理的非税收入拨款减少。</w:t>
      </w:r>
    </w:p>
    <w:p>
      <w:pPr>
        <w:pStyle w:val="12"/>
        <w:keepNext w:val="0"/>
        <w:keepLines w:val="0"/>
        <w:pageBreakBefore w:val="0"/>
        <w:widowControl/>
        <w:numPr>
          <w:ilvl w:val="0"/>
          <w:numId w:val="6"/>
        </w:numPr>
        <w:kinsoku/>
        <w:wordWrap/>
        <w:overflowPunct/>
        <w:topLinePunct w:val="0"/>
        <w:bidi w:val="0"/>
        <w:adjustRightInd/>
        <w:snapToGrid/>
        <w:spacing w:line="560" w:lineRule="exact"/>
        <w:ind w:firstLineChars="0"/>
        <w:textAlignment w:val="auto"/>
        <w:rPr>
          <w:rFonts w:ascii="黑体" w:hAnsi="黑体" w:eastAsia="黑体" w:cs="Times New Roman"/>
          <w:color w:val="auto"/>
          <w:sz w:val="32"/>
          <w:szCs w:val="32"/>
        </w:rPr>
      </w:pPr>
      <w:r>
        <w:rPr>
          <w:rFonts w:ascii="黑体" w:hAnsi="黑体" w:eastAsia="黑体" w:cs="Times New Roman"/>
          <w:color w:val="auto"/>
          <w:sz w:val="32"/>
          <w:szCs w:val="32"/>
        </w:rPr>
        <w:t>项目支出情况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一般公共预算财政拨款的项目支出预算数304万元，调整预算数996.56万元。当年实际支出380.79万元，比上年减少531.24万元，降低58.24%。主要用于科学技术支出3.31万元；农林水支出377.48万元。支出较上年减少主要是本年安排的农林水项目财政拨款减少。</w:t>
      </w:r>
    </w:p>
    <w:p>
      <w:pPr>
        <w:pStyle w:val="12"/>
        <w:keepNext w:val="0"/>
        <w:keepLines w:val="0"/>
        <w:pageBreakBefore w:val="0"/>
        <w:widowControl/>
        <w:numPr>
          <w:ilvl w:val="0"/>
          <w:numId w:val="4"/>
        </w:numPr>
        <w:kinsoku/>
        <w:wordWrap/>
        <w:overflowPunct/>
        <w:topLinePunct w:val="0"/>
        <w:bidi w:val="0"/>
        <w:adjustRightInd/>
        <w:snapToGrid/>
        <w:spacing w:line="560" w:lineRule="exact"/>
        <w:ind w:firstLineChars="0"/>
        <w:jc w:val="left"/>
        <w:textAlignment w:val="auto"/>
        <w:rPr>
          <w:rFonts w:ascii="Times New Roman" w:hAnsi="Times New Roman" w:eastAsia="黑体" w:cs="Times New Roman"/>
          <w:color w:val="auto"/>
          <w:sz w:val="32"/>
          <w:szCs w:val="32"/>
        </w:rPr>
      </w:pPr>
      <w:r>
        <w:rPr>
          <w:rFonts w:ascii="黑体" w:hAnsi="黑体" w:eastAsia="黑体" w:cs="Times New Roman"/>
          <w:color w:val="auto"/>
          <w:sz w:val="32"/>
          <w:szCs w:val="32"/>
        </w:rPr>
        <w:t>政府性基金预算支出情况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度我院政府性基金预算财政拨款3147万元，较上年增加3147万元。实际支出2940.2万元，支出进度93.43%，主要用于三峡后期工作，开展2021-2025年长江四口水系、洞庭湖区河道、四水尾闾河道、汨罗江及新墙河道的水道地形、固定断面、水文泥沙测验、水质监测等。</w:t>
      </w:r>
    </w:p>
    <w:p>
      <w:pPr>
        <w:pStyle w:val="12"/>
        <w:keepNext w:val="0"/>
        <w:keepLines w:val="0"/>
        <w:pageBreakBefore w:val="0"/>
        <w:widowControl/>
        <w:numPr>
          <w:ilvl w:val="0"/>
          <w:numId w:val="4"/>
        </w:numPr>
        <w:kinsoku/>
        <w:wordWrap/>
        <w:overflowPunct/>
        <w:topLinePunct w:val="0"/>
        <w:bidi w:val="0"/>
        <w:adjustRightInd/>
        <w:snapToGrid/>
        <w:spacing w:line="560" w:lineRule="exact"/>
        <w:ind w:firstLineChars="0"/>
        <w:jc w:val="left"/>
        <w:textAlignment w:val="auto"/>
        <w:rPr>
          <w:rFonts w:ascii="Times New Roman" w:hAnsi="Times New Roman" w:eastAsia="黑体" w:cs="Times New Roman"/>
          <w:color w:val="auto"/>
          <w:sz w:val="32"/>
          <w:szCs w:val="32"/>
        </w:rPr>
      </w:pPr>
      <w:r>
        <w:rPr>
          <w:rFonts w:ascii="黑体" w:hAnsi="黑体" w:eastAsia="黑体" w:cs="Times New Roman"/>
          <w:color w:val="auto"/>
          <w:sz w:val="32"/>
          <w:szCs w:val="32"/>
        </w:rPr>
        <w:t>国有资本经营预算支出情况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2021年度我院无国有资本经营预算支出。</w:t>
      </w:r>
    </w:p>
    <w:p>
      <w:pPr>
        <w:pStyle w:val="12"/>
        <w:keepNext w:val="0"/>
        <w:keepLines w:val="0"/>
        <w:pageBreakBefore w:val="0"/>
        <w:widowControl/>
        <w:numPr>
          <w:ilvl w:val="0"/>
          <w:numId w:val="4"/>
        </w:numPr>
        <w:kinsoku/>
        <w:wordWrap/>
        <w:overflowPunct/>
        <w:topLinePunct w:val="0"/>
        <w:bidi w:val="0"/>
        <w:adjustRightInd/>
        <w:snapToGrid/>
        <w:spacing w:line="560" w:lineRule="exact"/>
        <w:ind w:firstLineChars="0"/>
        <w:jc w:val="left"/>
        <w:textAlignment w:val="auto"/>
        <w:rPr>
          <w:rFonts w:ascii="Times New Roman" w:hAnsi="Times New Roman" w:eastAsia="黑体" w:cs="Times New Roman"/>
          <w:color w:val="auto"/>
          <w:sz w:val="32"/>
          <w:szCs w:val="32"/>
        </w:rPr>
      </w:pPr>
      <w:r>
        <w:rPr>
          <w:rFonts w:ascii="黑体" w:hAnsi="黑体" w:eastAsia="黑体" w:cs="Times New Roman"/>
          <w:color w:val="auto"/>
          <w:sz w:val="32"/>
          <w:szCs w:val="32"/>
        </w:rPr>
        <w:t>社会保险基金预算支出情况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2021年度我院无社会保险基金预算支出。</w:t>
      </w:r>
    </w:p>
    <w:p>
      <w:pPr>
        <w:keepNext w:val="0"/>
        <w:keepLines w:val="0"/>
        <w:pageBreakBefore w:val="0"/>
        <w:widowControl/>
        <w:numPr>
          <w:ilvl w:val="0"/>
          <w:numId w:val="4"/>
        </w:numPr>
        <w:kinsoku/>
        <w:wordWrap/>
        <w:overflowPunct/>
        <w:topLinePunct w:val="0"/>
        <w:bidi w:val="0"/>
        <w:adjustRightInd/>
        <w:snapToGrid/>
        <w:spacing w:line="560" w:lineRule="exact"/>
        <w:ind w:left="1360" w:hanging="720"/>
        <w:jc w:val="left"/>
        <w:textAlignment w:val="auto"/>
        <w:rPr>
          <w:rFonts w:ascii="黑体" w:hAnsi="黑体" w:eastAsia="黑体"/>
          <w:color w:val="auto"/>
          <w:sz w:val="32"/>
          <w:szCs w:val="32"/>
        </w:rPr>
      </w:pPr>
      <w:r>
        <w:rPr>
          <w:rFonts w:hint="eastAsia" w:ascii="黑体" w:hAnsi="黑体" w:eastAsia="黑体"/>
          <w:color w:val="auto"/>
          <w:sz w:val="32"/>
          <w:szCs w:val="32"/>
        </w:rPr>
        <w:t>单位</w:t>
      </w:r>
      <w:r>
        <w:rPr>
          <w:rFonts w:ascii="黑体" w:hAnsi="黑体" w:eastAsia="黑体"/>
          <w:color w:val="auto"/>
          <w:sz w:val="32"/>
          <w:szCs w:val="32"/>
        </w:rPr>
        <w:t>整体支出绩效情况</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我院对照湘财绩〔2022〕1号文件规定的考核指标，从年度资金执行率和投入、过程、产出和效果4个方面和对2021年部门整体支出绩效开展了评价，分值设置为10分、10分、30分、10分和40分，自评得分92.88分。根据我院2021年度绩效目标执行情况，结合自评结果，现从目标设定、预算配置、预算执行、预算管理、履职效能、社会效应和服务对象满意度、资产管理情况等7个方面衡量我院整体及核心业务实施效果。具体情况如下。</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目标设定</w:t>
      </w:r>
      <w:r>
        <w:rPr>
          <w:rFonts w:hint="default" w:ascii="黑体" w:hAnsi="黑体" w:eastAsia="黑体" w:cs="Times New Roman"/>
          <w:b w:val="0"/>
          <w:bCs w:val="0"/>
          <w:color w:val="auto"/>
          <w:sz w:val="32"/>
          <w:szCs w:val="32"/>
        </w:rPr>
        <w:t>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2021年我院从整体目标、项目绩效目标2个层面分别设置相应的绩效目标，绩效目标合理，目标设立与实际工作内容相关，与预算安排资金相匹配。</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预算配置方面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我院在职人员控制率89.17%，在职人员控制在编制数限额以内。“三公经费”变动率52.91%，主要原因是2021年我院申请获批新增1台车辆，增加当年公务用车购置预算30万元。重点支出安排率91.26%，重点支出基本得到预算保障。</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预算执行</w:t>
      </w:r>
      <w:r>
        <w:rPr>
          <w:rFonts w:hint="default" w:ascii="黑体" w:hAnsi="黑体" w:eastAsia="黑体" w:cs="Times New Roman"/>
          <w:b w:val="0"/>
          <w:bCs w:val="0"/>
          <w:color w:val="auto"/>
          <w:sz w:val="32"/>
          <w:szCs w:val="32"/>
        </w:rPr>
        <w:t>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预算调整率48.25%，变动的主要原因是当年新增政府性基金预算3147万元，用于三峡后续工作；财政资金支付进度率85.88%，支付进度达到单位预期要求；财政资金结转结余率14.12%，财政资金基本按计划执行，结转结余较少。公用经费控制率86.17%，日常性公用支出实现了有效控制；“三公经费”控制率50.66%，控制效果良好；政府采购执行率5171%，变动的主要原因是当年财政调整增加政府性基金预算拨款3147万元；此外湖南省水土保持遥感监管项目政府采购180万元。二者占当年全部政府采购金额的67.03%。</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预算管理</w:t>
      </w:r>
      <w:r>
        <w:rPr>
          <w:rFonts w:hint="eastAsia" w:ascii="黑体" w:hAnsi="黑体" w:eastAsia="黑体" w:cs="Times New Roman"/>
          <w:b w:val="0"/>
          <w:bCs w:val="0"/>
          <w:color w:val="auto"/>
          <w:sz w:val="32"/>
          <w:szCs w:val="32"/>
          <w:lang w:val="en-US" w:eastAsia="zh-CN"/>
        </w:rPr>
        <w:t>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在预算管理制度健全性方面，严格依据国家、省级预算管理制度编制预算。在资金使用合规性方面，资金使用符合国家财经法规、财务管理制度以及有关专项资金管理办法的规定；资金支付有完整的审批程序和手续；符合项目支出预算批复或合同规定的用途；无截留、挤占、挪用、虚列支出等情况。在预决算信息公开性方面，预算信息按时按量公开，决算信息按时按量公开。在基础信息完整性方面，基础数据信息和会计信息资料真实、完整、准确。</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资产管理</w:t>
      </w:r>
      <w:r>
        <w:rPr>
          <w:rFonts w:hint="default" w:ascii="黑体" w:hAnsi="黑体" w:eastAsia="黑体" w:cs="Times New Roman"/>
          <w:b w:val="0"/>
          <w:bCs w:val="0"/>
          <w:color w:val="auto"/>
          <w:sz w:val="32"/>
          <w:szCs w:val="32"/>
        </w:rPr>
        <w:t>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default"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2021年我院沿用以前年度内部控制制度，同时根据湘水办函〔2020〕245号《湖南省水利厅办公室关于进一步加强固定资产管理的通知》等文件精神，对我院各项资产进行了全面清理核对，对实物进行了盘点核实。在资产管理安全性方面，资产保存、使用和处置规范，无违规情况。在固定资产利用率方面，我院固定资产利用率95.88%，主要是2021年未及时调整资产的使用状况，后续将及时督促资产管理员调整资产使用状态。</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职责履行方面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我院主动担当作为，承担水利科技重点工作，如水利工程划界技术支撑、河湖划界成果整理等。2021年我院超额完成技术咨询服务合同额；各项工作在计划时间内完成，无因延迟完成被通报批评等情况；上报验收的项目的质量达标率100%，全部通过验收；工作重点基本按计划完成。</w:t>
      </w:r>
    </w:p>
    <w:p>
      <w:pPr>
        <w:pStyle w:val="12"/>
        <w:keepNext w:val="0"/>
        <w:keepLines w:val="0"/>
        <w:pageBreakBefore w:val="0"/>
        <w:widowControl/>
        <w:numPr>
          <w:ilvl w:val="0"/>
          <w:numId w:val="7"/>
        </w:numPr>
        <w:kinsoku/>
        <w:wordWrap/>
        <w:overflowPunct/>
        <w:topLinePunct w:val="0"/>
        <w:autoSpaceDE/>
        <w:autoSpaceDN/>
        <w:bidi w:val="0"/>
        <w:adjustRightInd/>
        <w:snapToGrid/>
        <w:spacing w:line="560" w:lineRule="exact"/>
        <w:ind w:hanging="1080" w:firstLineChars="0"/>
        <w:jc w:val="both"/>
        <w:textAlignment w:val="auto"/>
        <w:rPr>
          <w:rFonts w:hint="default" w:ascii="黑体" w:hAnsi="黑体" w:eastAsia="黑体" w:cs="Times New Roman"/>
          <w:b w:val="0"/>
          <w:bCs w:val="0"/>
          <w:color w:val="auto"/>
          <w:sz w:val="32"/>
          <w:szCs w:val="32"/>
        </w:rPr>
      </w:pPr>
      <w:r>
        <w:rPr>
          <w:rFonts w:hint="eastAsia" w:ascii="黑体" w:hAnsi="黑体" w:eastAsia="黑体" w:cs="Times New Roman"/>
          <w:b w:val="0"/>
          <w:bCs w:val="0"/>
          <w:color w:val="auto"/>
          <w:sz w:val="32"/>
          <w:szCs w:val="32"/>
          <w:lang w:eastAsia="zh-CN"/>
        </w:rPr>
        <w:t>履职效益</w:t>
      </w:r>
      <w:r>
        <w:rPr>
          <w:rFonts w:hint="default" w:ascii="黑体" w:hAnsi="黑体" w:eastAsia="黑体" w:cs="Times New Roman"/>
          <w:b w:val="0"/>
          <w:bCs w:val="0"/>
          <w:color w:val="auto"/>
          <w:sz w:val="32"/>
          <w:szCs w:val="32"/>
        </w:rPr>
        <w:t>方面</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社会效益方面，一是科技实力进一步增强，提升在省内外的影响力。当年申报科研项目47项，立项成功13项；获得各项科技奖励8项；完成科研项目的结题验收20项；发表论文50篇；出版专著5部；申报专利31项；获得软件著作权10项；参与出版地方标准1项，立项1项；举办学术讲座14场；承办的湖南省水利科技创新会议影响深远。二是加强科研基地建设，打造具有社会影响力的科研平台。春华灌溉试验中心站建设基本完成立项。三是加强水利人才队伍建设，带动就业，促进社会稳定。助力全省水利人才队伍建设进一步完成，当年新晋正高职称1名，副高级职称5名；引进硕士以上学历科研辅助人员9名；自筹资金开展优秀人才培养支撑项目11个；新增研究生联合培养基地1个。</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生态效益方面，我院积极宣传生态文明形象，以水利科技研究成果推动水利建设，落实绿色发展理念，积极开展科技下乡、节水护水、呵护河湖、光盘行动、整治环境卫生、支持防疫捐款等志愿者行动和文明科室、文明职工、公益跑团等活动，为打造“水清、河畅、岸绿、景美”的生态湖南作出贡献。</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在社会公众或服务对象满意度方面，我院当年经统计的职工满意度均在90分以上，提供的服务基本能满足职工需求。</w:t>
      </w:r>
    </w:p>
    <w:p>
      <w:pPr>
        <w:pStyle w:val="12"/>
        <w:keepNext w:val="0"/>
        <w:keepLines w:val="0"/>
        <w:pageBreakBefore w:val="0"/>
        <w:widowControl/>
        <w:numPr>
          <w:ilvl w:val="0"/>
          <w:numId w:val="8"/>
        </w:numPr>
        <w:kinsoku/>
        <w:wordWrap/>
        <w:overflowPunct/>
        <w:topLinePunct w:val="0"/>
        <w:bidi w:val="0"/>
        <w:adjustRightInd/>
        <w:snapToGrid/>
        <w:spacing w:line="560" w:lineRule="exact"/>
        <w:ind w:firstLineChars="0"/>
        <w:jc w:val="left"/>
        <w:textAlignment w:val="auto"/>
        <w:rPr>
          <w:rFonts w:ascii="Times New Roman" w:hAnsi="Times New Roman" w:eastAsia="黑体" w:cs="Times New Roman"/>
          <w:color w:val="auto"/>
          <w:sz w:val="32"/>
          <w:szCs w:val="32"/>
        </w:rPr>
      </w:pPr>
      <w:r>
        <w:rPr>
          <w:rFonts w:ascii="黑体" w:hAnsi="黑体" w:eastAsia="黑体" w:cs="Times New Roman"/>
          <w:color w:val="auto"/>
          <w:sz w:val="32"/>
          <w:szCs w:val="32"/>
        </w:rPr>
        <w:t>存在的问题及</w:t>
      </w:r>
      <w:r>
        <w:rPr>
          <w:rFonts w:hint="eastAsia" w:ascii="黑体" w:hAnsi="黑体" w:eastAsia="黑体"/>
          <w:color w:val="auto"/>
          <w:sz w:val="32"/>
          <w:szCs w:val="32"/>
        </w:rPr>
        <w:t>原因分析</w:t>
      </w:r>
    </w:p>
    <w:p>
      <w:pPr>
        <w:pStyle w:val="12"/>
        <w:keepNext w:val="0"/>
        <w:keepLines w:val="0"/>
        <w:pageBreakBefore w:val="0"/>
        <w:widowControl/>
        <w:numPr>
          <w:ilvl w:val="0"/>
          <w:numId w:val="9"/>
        </w:numPr>
        <w:kinsoku/>
        <w:wordWrap/>
        <w:overflowPunct/>
        <w:topLinePunct w:val="0"/>
        <w:bidi w:val="0"/>
        <w:adjustRightInd/>
        <w:snapToGrid/>
        <w:spacing w:line="560" w:lineRule="exact"/>
        <w:ind w:firstLineChars="0"/>
        <w:textAlignment w:val="auto"/>
        <w:rPr>
          <w:rFonts w:ascii="黑体" w:hAnsi="黑体" w:eastAsia="黑体" w:cs="Times New Roman"/>
          <w:color w:val="auto"/>
          <w:sz w:val="32"/>
          <w:szCs w:val="32"/>
        </w:rPr>
      </w:pPr>
      <w:r>
        <w:rPr>
          <w:rFonts w:hint="default" w:ascii="黑体" w:hAnsi="黑体" w:eastAsia="黑体" w:cs="Times New Roman"/>
          <w:color w:val="auto"/>
          <w:sz w:val="32"/>
          <w:szCs w:val="32"/>
          <w:lang w:val="en-US" w:eastAsia="zh-CN"/>
        </w:rPr>
        <w:t>预算</w:t>
      </w:r>
      <w:r>
        <w:rPr>
          <w:rFonts w:hint="eastAsia" w:ascii="黑体" w:hAnsi="黑体" w:eastAsia="黑体" w:cs="Times New Roman"/>
          <w:color w:val="auto"/>
          <w:sz w:val="32"/>
          <w:szCs w:val="32"/>
          <w:lang w:val="en-US" w:eastAsia="zh-CN"/>
        </w:rPr>
        <w:t>管理</w:t>
      </w:r>
      <w:r>
        <w:rPr>
          <w:rFonts w:hint="default" w:ascii="黑体" w:hAnsi="黑体" w:eastAsia="黑体" w:cs="Times New Roman"/>
          <w:color w:val="auto"/>
          <w:sz w:val="32"/>
          <w:szCs w:val="32"/>
          <w:lang w:val="en-US" w:eastAsia="zh-CN"/>
        </w:rPr>
        <w:t>能力有待提升</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预算编制前的详细调研和科学测算工作未能完全到位，项目支出预算编制的科学性和精确性、预算编制工作的配合度等尚待加强。</w:t>
      </w:r>
    </w:p>
    <w:p>
      <w:pPr>
        <w:pStyle w:val="12"/>
        <w:keepNext w:val="0"/>
        <w:keepLines w:val="0"/>
        <w:pageBreakBefore w:val="0"/>
        <w:widowControl/>
        <w:numPr>
          <w:ilvl w:val="0"/>
          <w:numId w:val="9"/>
        </w:numPr>
        <w:kinsoku/>
        <w:wordWrap/>
        <w:overflowPunct/>
        <w:topLinePunct w:val="0"/>
        <w:bidi w:val="0"/>
        <w:adjustRightInd/>
        <w:snapToGrid/>
        <w:spacing w:line="560" w:lineRule="exact"/>
        <w:ind w:firstLineChars="0"/>
        <w:textAlignment w:val="auto"/>
        <w:rPr>
          <w:rFonts w:hint="eastAsia" w:ascii="黑体" w:hAnsi="黑体" w:eastAsia="黑体" w:cs="Times New Roman"/>
          <w:color w:val="auto"/>
          <w:sz w:val="32"/>
          <w:szCs w:val="32"/>
          <w:lang w:val="en-US" w:eastAsia="zh-CN"/>
        </w:rPr>
      </w:pPr>
      <w:r>
        <w:rPr>
          <w:rFonts w:hint="eastAsia" w:ascii="黑体" w:hAnsi="黑体" w:eastAsia="黑体" w:cs="Times New Roman"/>
          <w:color w:val="auto"/>
          <w:sz w:val="32"/>
          <w:szCs w:val="32"/>
          <w:lang w:val="en-US" w:eastAsia="zh-CN"/>
        </w:rPr>
        <w:t>绩效目标申报不够精准</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在项目设立初期对项目基本情况的了解不够清楚透彻，绩效目标设置不够完整、细化，造成年度绩效目标和实际完成情况出现一定偏差。</w:t>
      </w:r>
    </w:p>
    <w:p>
      <w:pPr>
        <w:pStyle w:val="12"/>
        <w:keepNext w:val="0"/>
        <w:keepLines w:val="0"/>
        <w:pageBreakBefore w:val="0"/>
        <w:widowControl/>
        <w:numPr>
          <w:ilvl w:val="0"/>
          <w:numId w:val="8"/>
        </w:numPr>
        <w:kinsoku/>
        <w:wordWrap/>
        <w:overflowPunct/>
        <w:topLinePunct w:val="0"/>
        <w:bidi w:val="0"/>
        <w:adjustRightInd/>
        <w:snapToGrid/>
        <w:spacing w:line="560" w:lineRule="exact"/>
        <w:ind w:firstLineChars="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下一步</w:t>
      </w:r>
      <w:r>
        <w:rPr>
          <w:rFonts w:ascii="黑体" w:hAnsi="黑体" w:eastAsia="黑体" w:cs="Times New Roman"/>
          <w:color w:val="auto"/>
          <w:sz w:val="32"/>
          <w:szCs w:val="32"/>
        </w:rPr>
        <w:t>改进措施</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针对绩效评价发现的不足，我院拟采取以下措施加以改进：</w:t>
      </w:r>
    </w:p>
    <w:p>
      <w:pPr>
        <w:pStyle w:val="12"/>
        <w:keepNext w:val="0"/>
        <w:keepLines w:val="0"/>
        <w:pageBreakBefore w:val="0"/>
        <w:widowControl/>
        <w:numPr>
          <w:ilvl w:val="0"/>
          <w:numId w:val="10"/>
        </w:numPr>
        <w:kinsoku/>
        <w:wordWrap/>
        <w:overflowPunct/>
        <w:topLinePunct w:val="0"/>
        <w:bidi w:val="0"/>
        <w:adjustRightInd/>
        <w:snapToGrid/>
        <w:spacing w:line="560" w:lineRule="exact"/>
        <w:ind w:left="0" w:firstLine="420" w:firstLineChars="0"/>
        <w:jc w:val="both"/>
        <w:textAlignment w:val="auto"/>
        <w:rPr>
          <w:rFonts w:hint="default" w:ascii="黑体" w:hAnsi="黑体" w:eastAsia="黑体" w:cs="Times New Roman"/>
          <w:color w:val="auto"/>
          <w:sz w:val="32"/>
          <w:szCs w:val="32"/>
          <w:lang w:val="en-US" w:eastAsia="zh-CN"/>
        </w:rPr>
      </w:pPr>
      <w:r>
        <w:rPr>
          <w:rFonts w:hint="eastAsia" w:ascii="黑体" w:hAnsi="黑体" w:eastAsia="黑体" w:cs="Times New Roman"/>
          <w:color w:val="auto"/>
          <w:sz w:val="32"/>
          <w:szCs w:val="32"/>
          <w:lang w:val="en-US" w:eastAsia="zh-CN"/>
        </w:rPr>
        <w:t>提升</w:t>
      </w:r>
      <w:r>
        <w:rPr>
          <w:rFonts w:hint="default" w:ascii="黑体" w:hAnsi="黑体" w:eastAsia="黑体" w:cs="Times New Roman"/>
          <w:color w:val="auto"/>
          <w:sz w:val="32"/>
          <w:szCs w:val="32"/>
          <w:lang w:val="en-US" w:eastAsia="zh-CN"/>
        </w:rPr>
        <w:t>预算管理</w:t>
      </w:r>
      <w:r>
        <w:rPr>
          <w:rFonts w:hint="eastAsia" w:ascii="黑体" w:hAnsi="黑体" w:eastAsia="黑体" w:cs="Times New Roman"/>
          <w:color w:val="auto"/>
          <w:sz w:val="32"/>
          <w:szCs w:val="32"/>
          <w:lang w:val="en-US" w:eastAsia="zh-CN"/>
        </w:rPr>
        <w:t>能</w:t>
      </w:r>
      <w:r>
        <w:rPr>
          <w:rFonts w:hint="default" w:ascii="黑体" w:hAnsi="黑体" w:eastAsia="黑体" w:cs="Times New Roman"/>
          <w:color w:val="auto"/>
          <w:sz w:val="32"/>
          <w:szCs w:val="32"/>
          <w:lang w:val="en-US" w:eastAsia="zh-CN"/>
        </w:rPr>
        <w:t>力</w:t>
      </w:r>
    </w:p>
    <w:p>
      <w:pPr>
        <w:keepNext w:val="0"/>
        <w:keepLines w:val="0"/>
        <w:pageBreakBefore w:val="0"/>
        <w:kinsoku/>
        <w:wordWrap/>
        <w:overflowPunct/>
        <w:topLinePunct w:val="0"/>
        <w:autoSpaceDE w:val="0"/>
        <w:autoSpaceDN w:val="0"/>
        <w:bidi w:val="0"/>
        <w:adjustRightInd/>
        <w:snapToGrid/>
        <w:spacing w:line="560" w:lineRule="exact"/>
        <w:ind w:firstLine="640" w:firstLineChars="200"/>
        <w:jc w:val="both"/>
        <w:textAlignment w:val="auto"/>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进一步加强我院的预算资金管理，对预算事前、事中、事后进行全过程控制，加大对预算编制、执行的监督管理力度，提升预算配置、执行、控制力，提高预算资金使用效率。同时，提升各单位人员对预算资金使用效益的认识，把预算资金是否发挥使用效益与各岗位是否履职尽责相结合，将预算资金使用的效率和效益作为对各岗位人员工作考核评价的重要内容之一。对预算经费严格落实“收支两条线”要求，精细测算支出额度，把需求核准核实，充分发挥财政资金的效益。</w:t>
      </w:r>
    </w:p>
    <w:p>
      <w:pPr>
        <w:pStyle w:val="12"/>
        <w:keepNext w:val="0"/>
        <w:keepLines w:val="0"/>
        <w:pageBreakBefore w:val="0"/>
        <w:numPr>
          <w:ilvl w:val="0"/>
          <w:numId w:val="10"/>
        </w:numPr>
        <w:kinsoku/>
        <w:wordWrap/>
        <w:overflowPunct/>
        <w:topLinePunct w:val="0"/>
        <w:autoSpaceDE/>
        <w:autoSpaceDN/>
        <w:bidi w:val="0"/>
        <w:adjustRightInd/>
        <w:snapToGrid/>
        <w:spacing w:line="560" w:lineRule="exact"/>
        <w:ind w:left="0" w:leftChars="0" w:firstLine="420" w:firstLineChars="0"/>
        <w:textAlignment w:val="auto"/>
        <w:rPr>
          <w:rFonts w:hint="default" w:ascii="黑体" w:hAnsi="黑体" w:eastAsia="黑体" w:cs="Times New Roman"/>
          <w:b w:val="0"/>
          <w:bCs w:val="0"/>
          <w:color w:val="auto"/>
          <w:sz w:val="32"/>
          <w:szCs w:val="32"/>
        </w:rPr>
      </w:pPr>
      <w:r>
        <w:rPr>
          <w:rFonts w:hint="default" w:ascii="黑体" w:hAnsi="黑体" w:eastAsia="黑体" w:cs="Times New Roman"/>
          <w:b w:val="0"/>
          <w:bCs w:val="0"/>
          <w:color w:val="auto"/>
          <w:sz w:val="32"/>
          <w:szCs w:val="32"/>
        </w:rPr>
        <w:t>强化绩效目标管理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Times New Roman" w:hAnsi="Times New Roman" w:eastAsia="仿宋_GB2312" w:cs="Times New Roman"/>
          <w:sz w:val="30"/>
          <w:szCs w:val="24"/>
          <w:lang w:val="en-US" w:eastAsia="zh-CN"/>
        </w:rPr>
      </w:pPr>
      <w:r>
        <w:rPr>
          <w:rFonts w:hint="eastAsia" w:cs="黑体" w:asciiTheme="minorEastAsia" w:hAnsiTheme="minorEastAsia"/>
          <w:color w:val="000000"/>
          <w:kern w:val="0"/>
          <w:sz w:val="32"/>
          <w:szCs w:val="32"/>
          <w:lang w:val="en-US" w:eastAsia="zh-CN"/>
        </w:rPr>
        <w:t>将绩效目标管理与年初部门预算“二上二下”相结合，强化绩效目标考核，切实增强预算绩效约束。按照“绩效可比、具体细化、合理可行”的原则，设置不同类别项目的绩效目标，明确相应类别项目的绩效指标，提高绩效目标管理的可操作性。</w:t>
      </w:r>
    </w:p>
    <w:p>
      <w:pPr>
        <w:pStyle w:val="12"/>
        <w:keepNext w:val="0"/>
        <w:keepLines w:val="0"/>
        <w:pageBreakBefore w:val="0"/>
        <w:widowControl w:val="0"/>
        <w:numPr>
          <w:ilvl w:val="0"/>
          <w:numId w:val="10"/>
        </w:numPr>
        <w:kinsoku/>
        <w:wordWrap/>
        <w:overflowPunct/>
        <w:topLinePunct w:val="0"/>
        <w:bidi w:val="0"/>
        <w:adjustRightInd/>
        <w:snapToGrid/>
        <w:spacing w:line="560" w:lineRule="exact"/>
        <w:ind w:left="0" w:leftChars="0" w:firstLine="420" w:firstLineChars="0"/>
        <w:jc w:val="both"/>
        <w:textAlignment w:val="auto"/>
        <w:rPr>
          <w:rFonts w:hint="default" w:ascii="黑体" w:hAnsi="黑体" w:eastAsia="黑体" w:cs="Times New Roman"/>
          <w:color w:val="auto"/>
          <w:sz w:val="32"/>
          <w:szCs w:val="32"/>
          <w:lang w:val="en-US" w:eastAsia="zh-CN"/>
        </w:rPr>
      </w:pPr>
      <w:r>
        <w:rPr>
          <w:rFonts w:hint="default" w:ascii="黑体" w:hAnsi="黑体" w:eastAsia="黑体" w:cs="Times New Roman"/>
          <w:color w:val="auto"/>
          <w:sz w:val="32"/>
          <w:szCs w:val="32"/>
          <w:lang w:val="en-US" w:eastAsia="zh-CN"/>
        </w:rPr>
        <w:t>推进内控制度建设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深入推进我院内控制度建设，构筑全方位的风险防控防线。继续加强顶层制度设计，全面铺开内控制度建设工作，坚定不移推进内控建设。按照“预算管理为主线、资金管理为中心”的原则，对我院科研工作、财务收支、资产管理、工资管理、合同管理等各项业务的业务流程进行全面梳理，明确各项业务的目标、内容、流程以及各部门岗位职责和权限分配。</w:t>
      </w:r>
    </w:p>
    <w:p>
      <w:pPr>
        <w:keepNext w:val="0"/>
        <w:keepLines w:val="0"/>
        <w:pageBreakBefore w:val="0"/>
        <w:widowControl/>
        <w:numPr>
          <w:ilvl w:val="0"/>
          <w:numId w:val="8"/>
        </w:numPr>
        <w:kinsoku/>
        <w:wordWrap/>
        <w:overflowPunct/>
        <w:topLinePunct w:val="0"/>
        <w:bidi w:val="0"/>
        <w:adjustRightInd/>
        <w:snapToGrid/>
        <w:spacing w:line="560" w:lineRule="exact"/>
        <w:ind w:left="1360" w:hanging="720"/>
        <w:jc w:val="left"/>
        <w:textAlignment w:val="auto"/>
        <w:rPr>
          <w:rFonts w:ascii="黑体" w:hAnsi="黑体" w:eastAsia="黑体"/>
          <w:color w:val="auto"/>
          <w:sz w:val="32"/>
          <w:szCs w:val="32"/>
        </w:rPr>
      </w:pPr>
      <w:r>
        <w:rPr>
          <w:rFonts w:ascii="黑体" w:hAnsi="黑体" w:eastAsia="黑体"/>
          <w:color w:val="auto"/>
          <w:sz w:val="32"/>
          <w:szCs w:val="32"/>
        </w:rPr>
        <w:t>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此次绩效自评结果，将作为我院下年度各部门项目预算分配的重要参考依据，取长补短，不断调整和优化我院对资金的使用效益。同时，针对绩效评价中反映的问题，及时更正，加强财政支出管理，优化我院预算支出结构，提高资金管理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根据《中华人民共和国信息公开条例》要求及上级主管部门的绩效工作安排，按时在水科院门户网站进行公示。</w:t>
      </w:r>
    </w:p>
    <w:p>
      <w:pPr>
        <w:keepNext w:val="0"/>
        <w:keepLines w:val="0"/>
        <w:pageBreakBefore w:val="0"/>
        <w:widowControl/>
        <w:numPr>
          <w:ilvl w:val="0"/>
          <w:numId w:val="8"/>
        </w:numPr>
        <w:kinsoku/>
        <w:wordWrap/>
        <w:overflowPunct/>
        <w:topLinePunct w:val="0"/>
        <w:bidi w:val="0"/>
        <w:adjustRightInd/>
        <w:snapToGrid/>
        <w:spacing w:line="560" w:lineRule="exact"/>
        <w:ind w:left="1360" w:hanging="720"/>
        <w:jc w:val="left"/>
        <w:textAlignment w:val="auto"/>
        <w:rPr>
          <w:rFonts w:ascii="黑体" w:hAnsi="黑体" w:eastAsia="黑体"/>
          <w:color w:val="auto"/>
          <w:sz w:val="32"/>
          <w:szCs w:val="32"/>
        </w:rPr>
      </w:pPr>
      <w:r>
        <w:rPr>
          <w:rFonts w:ascii="黑体" w:hAnsi="黑体" w:eastAsia="黑体"/>
          <w:color w:val="auto"/>
          <w:sz w:val="32"/>
          <w:szCs w:val="32"/>
        </w:rPr>
        <w:t>其他需要说明的情况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val="en-US" w:eastAsia="zh-CN"/>
        </w:rPr>
        <w:t>无。</w:t>
      </w:r>
    </w:p>
    <w:p>
      <w:pPr>
        <w:pStyle w:val="9"/>
        <w:ind w:firstLine="640" w:firstLineChars="200"/>
        <w:jc w:val="both"/>
        <w:rPr>
          <w:rFonts w:hint="eastAsia" w:asciiTheme="minorEastAsia" w:hAnsiTheme="minorEastAsia" w:eastAsiaTheme="minorEastAsia"/>
          <w:color w:val="auto"/>
          <w:sz w:val="32"/>
          <w:szCs w:val="32"/>
          <w:lang w:val="en-US" w:eastAsia="zh-CN"/>
        </w:rPr>
      </w:pPr>
    </w:p>
    <w:p>
      <w:pPr>
        <w:ind w:firstLine="640" w:firstLineChars="200"/>
        <w:jc w:val="left"/>
        <w:rPr>
          <w:rFonts w:cs="黑体" w:asciiTheme="minorEastAsia" w:hAnsiTheme="minorEastAsia"/>
          <w:color w:val="000000"/>
          <w:kern w:val="0"/>
          <w:sz w:val="32"/>
          <w:szCs w:val="32"/>
        </w:rPr>
      </w:pPr>
    </w:p>
    <w:sectPr>
      <w:pgSz w:w="11906" w:h="16838"/>
      <w:pgMar w:top="720" w:right="720" w:bottom="720" w:left="720" w:header="851" w:footer="992" w:gutter="0"/>
      <w:pgBorders>
        <w:top w:val="none" w:sz="0" w:space="0"/>
        <w:left w:val="none" w:sz="0" w:space="0"/>
        <w:bottom w:val="none" w:sz="0" w:space="0"/>
        <w:right w:val="none" w:sz="0" w:space="0"/>
      </w:pgBorders>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2000000000000000000"/>
    <w:charset w:val="86"/>
    <w:family w:val="script"/>
    <w:pitch w:val="default"/>
    <w:sig w:usb0="A00002BF" w:usb1="38CF7CFA" w:usb2="0008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AC6D4C"/>
    <w:multiLevelType w:val="singleLevel"/>
    <w:tmpl w:val="B9AC6D4C"/>
    <w:lvl w:ilvl="0" w:tentative="0">
      <w:start w:val="1"/>
      <w:numFmt w:val="decimal"/>
      <w:suff w:val="nothing"/>
      <w:lvlText w:val="%1、"/>
      <w:lvlJc w:val="left"/>
    </w:lvl>
  </w:abstractNum>
  <w:abstractNum w:abstractNumId="1">
    <w:nsid w:val="C4276B85"/>
    <w:multiLevelType w:val="multilevel"/>
    <w:tmpl w:val="C4276B85"/>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2">
    <w:nsid w:val="FE7F633F"/>
    <w:multiLevelType w:val="singleLevel"/>
    <w:tmpl w:val="FE7F633F"/>
    <w:lvl w:ilvl="0" w:tentative="0">
      <w:start w:val="1"/>
      <w:numFmt w:val="chineseCounting"/>
      <w:suff w:val="nothing"/>
      <w:lvlText w:val="（%1）"/>
      <w:lvlJc w:val="left"/>
      <w:pPr>
        <w:ind w:left="0" w:firstLine="420"/>
      </w:pPr>
      <w:rPr>
        <w:rFonts w:hint="eastAsia"/>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DB266D0"/>
    <w:multiLevelType w:val="multilevel"/>
    <w:tmpl w:val="3DB266D0"/>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5">
    <w:nsid w:val="4AFDB5CB"/>
    <w:multiLevelType w:val="singleLevel"/>
    <w:tmpl w:val="4AFDB5CB"/>
    <w:lvl w:ilvl="0" w:tentative="0">
      <w:start w:val="2"/>
      <w:numFmt w:val="decimal"/>
      <w:suff w:val="nothing"/>
      <w:lvlText w:val="（%1）"/>
      <w:lvlJc w:val="left"/>
    </w:lvl>
  </w:abstractNum>
  <w:abstractNum w:abstractNumId="6">
    <w:nsid w:val="5803FF07"/>
    <w:multiLevelType w:val="multilevel"/>
    <w:tmpl w:val="5803FF07"/>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7">
    <w:nsid w:val="5BCB3ED3"/>
    <w:multiLevelType w:val="multilevel"/>
    <w:tmpl w:val="5BCB3ED3"/>
    <w:lvl w:ilvl="0" w:tentative="0">
      <w:start w:val="1"/>
      <w:numFmt w:val="japaneseCounting"/>
      <w:lvlText w:val="（%1）"/>
      <w:lvlJc w:val="left"/>
      <w:pPr>
        <w:ind w:left="1720" w:hanging="108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8">
    <w:nsid w:val="7CC01410"/>
    <w:multiLevelType w:val="multilevel"/>
    <w:tmpl w:val="7CC01410"/>
    <w:lvl w:ilvl="0" w:tentative="0">
      <w:start w:val="1"/>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abstractNum w:abstractNumId="9">
    <w:nsid w:val="7F8736DA"/>
    <w:multiLevelType w:val="multilevel"/>
    <w:tmpl w:val="7F8736DA"/>
    <w:lvl w:ilvl="0" w:tentative="0">
      <w:start w:val="7"/>
      <w:numFmt w:val="japaneseCounting"/>
      <w:lvlText w:val="%1、"/>
      <w:lvlJc w:val="left"/>
      <w:pPr>
        <w:ind w:left="1360" w:hanging="720"/>
      </w:pPr>
      <w:rPr>
        <w:rFonts w:hint="default" w:ascii="Times New Roman" w:hAnsi="Times New Roman" w:cs="Times New Roman"/>
      </w:rPr>
    </w:lvl>
    <w:lvl w:ilvl="1" w:tentative="0">
      <w:start w:val="1"/>
      <w:numFmt w:val="lowerLetter"/>
      <w:lvlText w:val="%2)"/>
      <w:lvlJc w:val="left"/>
      <w:pPr>
        <w:ind w:left="1480" w:hanging="420"/>
      </w:pPr>
      <w:rPr>
        <w:rFonts w:hint="default" w:ascii="Times New Roman" w:hAnsi="Times New Roman" w:cs="Times New Roman"/>
      </w:rPr>
    </w:lvl>
    <w:lvl w:ilvl="2" w:tentative="0">
      <w:start w:val="1"/>
      <w:numFmt w:val="lowerRoman"/>
      <w:lvlText w:val="%3."/>
      <w:lvlJc w:val="right"/>
      <w:pPr>
        <w:ind w:left="1900" w:hanging="420"/>
      </w:pPr>
      <w:rPr>
        <w:rFonts w:hint="default" w:ascii="Times New Roman" w:hAnsi="Times New Roman" w:cs="Times New Roman"/>
      </w:rPr>
    </w:lvl>
    <w:lvl w:ilvl="3" w:tentative="0">
      <w:start w:val="1"/>
      <w:numFmt w:val="decimal"/>
      <w:lvlText w:val="%4."/>
      <w:lvlJc w:val="left"/>
      <w:pPr>
        <w:ind w:left="2320" w:hanging="420"/>
      </w:pPr>
      <w:rPr>
        <w:rFonts w:hint="default" w:ascii="Times New Roman" w:hAnsi="Times New Roman" w:cs="Times New Roman"/>
      </w:rPr>
    </w:lvl>
    <w:lvl w:ilvl="4" w:tentative="0">
      <w:start w:val="1"/>
      <w:numFmt w:val="lowerLetter"/>
      <w:lvlText w:val="%5)"/>
      <w:lvlJc w:val="left"/>
      <w:pPr>
        <w:ind w:left="2740" w:hanging="420"/>
      </w:pPr>
      <w:rPr>
        <w:rFonts w:hint="default" w:ascii="Times New Roman" w:hAnsi="Times New Roman" w:cs="Times New Roman"/>
      </w:rPr>
    </w:lvl>
    <w:lvl w:ilvl="5" w:tentative="0">
      <w:start w:val="1"/>
      <w:numFmt w:val="lowerRoman"/>
      <w:lvlText w:val="%6."/>
      <w:lvlJc w:val="right"/>
      <w:pPr>
        <w:ind w:left="3160" w:hanging="420"/>
      </w:pPr>
      <w:rPr>
        <w:rFonts w:hint="default" w:ascii="Times New Roman" w:hAnsi="Times New Roman" w:cs="Times New Roman"/>
      </w:rPr>
    </w:lvl>
    <w:lvl w:ilvl="6" w:tentative="0">
      <w:start w:val="1"/>
      <w:numFmt w:val="decimal"/>
      <w:lvlText w:val="%7."/>
      <w:lvlJc w:val="left"/>
      <w:pPr>
        <w:ind w:left="3580" w:hanging="420"/>
      </w:pPr>
      <w:rPr>
        <w:rFonts w:hint="default" w:ascii="Times New Roman" w:hAnsi="Times New Roman" w:cs="Times New Roman"/>
      </w:rPr>
    </w:lvl>
    <w:lvl w:ilvl="7" w:tentative="0">
      <w:start w:val="1"/>
      <w:numFmt w:val="lowerLetter"/>
      <w:lvlText w:val="%8)"/>
      <w:lvlJc w:val="left"/>
      <w:pPr>
        <w:ind w:left="4000" w:hanging="420"/>
      </w:pPr>
      <w:rPr>
        <w:rFonts w:hint="default" w:ascii="Times New Roman" w:hAnsi="Times New Roman" w:cs="Times New Roman"/>
      </w:rPr>
    </w:lvl>
    <w:lvl w:ilvl="8" w:tentative="0">
      <w:start w:val="1"/>
      <w:numFmt w:val="lowerRoman"/>
      <w:lvlText w:val="%9."/>
      <w:lvlJc w:val="right"/>
      <w:pPr>
        <w:ind w:left="4420" w:hanging="420"/>
      </w:pPr>
      <w:rPr>
        <w:rFonts w:hint="default" w:ascii="Times New Roman" w:hAnsi="Times New Roman" w:cs="Times New Roman"/>
      </w:rPr>
    </w:lvl>
  </w:abstractNum>
  <w:num w:numId="1">
    <w:abstractNumId w:val="3"/>
  </w:num>
  <w:num w:numId="2">
    <w:abstractNumId w:val="0"/>
  </w:num>
  <w:num w:numId="3">
    <w:abstractNumId w:val="5"/>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1ZjQyMGQwOGU4Y2M4YTU3Njg3OWI5OGRjMTg0MzQ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4D1F86"/>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5F3DD2"/>
    <w:rsid w:val="0219028B"/>
    <w:rsid w:val="027F611A"/>
    <w:rsid w:val="029E6200"/>
    <w:rsid w:val="03197B9E"/>
    <w:rsid w:val="03CA1FAF"/>
    <w:rsid w:val="04385063"/>
    <w:rsid w:val="046A54A0"/>
    <w:rsid w:val="04E719E4"/>
    <w:rsid w:val="05554D99"/>
    <w:rsid w:val="058B39C0"/>
    <w:rsid w:val="07983D2E"/>
    <w:rsid w:val="07B2360E"/>
    <w:rsid w:val="084C35F0"/>
    <w:rsid w:val="089814D2"/>
    <w:rsid w:val="08FA77B9"/>
    <w:rsid w:val="09A53A5F"/>
    <w:rsid w:val="0AC97009"/>
    <w:rsid w:val="0ACB37AB"/>
    <w:rsid w:val="0BDE0CED"/>
    <w:rsid w:val="0BF731F5"/>
    <w:rsid w:val="0C3D1B97"/>
    <w:rsid w:val="0C6D3E1F"/>
    <w:rsid w:val="0CAC2514"/>
    <w:rsid w:val="0D033437"/>
    <w:rsid w:val="0D29057F"/>
    <w:rsid w:val="0DC65EDD"/>
    <w:rsid w:val="0DF42A86"/>
    <w:rsid w:val="0EF535E2"/>
    <w:rsid w:val="0F305811"/>
    <w:rsid w:val="10C2298C"/>
    <w:rsid w:val="114B13F5"/>
    <w:rsid w:val="11FA4EAF"/>
    <w:rsid w:val="12A04F4F"/>
    <w:rsid w:val="12B96010"/>
    <w:rsid w:val="12C54E79"/>
    <w:rsid w:val="13D604FC"/>
    <w:rsid w:val="141F6347"/>
    <w:rsid w:val="15AC245A"/>
    <w:rsid w:val="16157036"/>
    <w:rsid w:val="164D719B"/>
    <w:rsid w:val="16586FD0"/>
    <w:rsid w:val="1707046A"/>
    <w:rsid w:val="173B52B1"/>
    <w:rsid w:val="19445F08"/>
    <w:rsid w:val="1B114159"/>
    <w:rsid w:val="1B7306EB"/>
    <w:rsid w:val="1B776A68"/>
    <w:rsid w:val="1BB50563"/>
    <w:rsid w:val="1D1D7A19"/>
    <w:rsid w:val="1D2F75FB"/>
    <w:rsid w:val="1D511A9F"/>
    <w:rsid w:val="1DDF4451"/>
    <w:rsid w:val="1E455622"/>
    <w:rsid w:val="1E5D0198"/>
    <w:rsid w:val="1EBD29E4"/>
    <w:rsid w:val="1FCA4916"/>
    <w:rsid w:val="20482782"/>
    <w:rsid w:val="20522FCB"/>
    <w:rsid w:val="206A206A"/>
    <w:rsid w:val="214570D6"/>
    <w:rsid w:val="214967B1"/>
    <w:rsid w:val="23AE505E"/>
    <w:rsid w:val="23E822B1"/>
    <w:rsid w:val="243674C1"/>
    <w:rsid w:val="24FB040B"/>
    <w:rsid w:val="250F14F4"/>
    <w:rsid w:val="25496D80"/>
    <w:rsid w:val="266F0153"/>
    <w:rsid w:val="27014B68"/>
    <w:rsid w:val="272950BB"/>
    <w:rsid w:val="27B72FF7"/>
    <w:rsid w:val="280C7524"/>
    <w:rsid w:val="28A459F5"/>
    <w:rsid w:val="29555EB4"/>
    <w:rsid w:val="29871B90"/>
    <w:rsid w:val="29CE59B8"/>
    <w:rsid w:val="2A7119AD"/>
    <w:rsid w:val="2AE22786"/>
    <w:rsid w:val="2B0D0833"/>
    <w:rsid w:val="2B154376"/>
    <w:rsid w:val="2C0D4D15"/>
    <w:rsid w:val="2C7B2858"/>
    <w:rsid w:val="2CE50B3E"/>
    <w:rsid w:val="2D942448"/>
    <w:rsid w:val="2D964B2C"/>
    <w:rsid w:val="2EBA0468"/>
    <w:rsid w:val="2EF04710"/>
    <w:rsid w:val="2EFC581F"/>
    <w:rsid w:val="2FB27C17"/>
    <w:rsid w:val="2FED31D9"/>
    <w:rsid w:val="30422D49"/>
    <w:rsid w:val="31686ACA"/>
    <w:rsid w:val="318B1C70"/>
    <w:rsid w:val="31D67007"/>
    <w:rsid w:val="32186662"/>
    <w:rsid w:val="325F5E35"/>
    <w:rsid w:val="32626DFE"/>
    <w:rsid w:val="32B72DD0"/>
    <w:rsid w:val="32BA1F68"/>
    <w:rsid w:val="33C84742"/>
    <w:rsid w:val="341B4FDB"/>
    <w:rsid w:val="3489363D"/>
    <w:rsid w:val="34984E3B"/>
    <w:rsid w:val="34D34554"/>
    <w:rsid w:val="3509652C"/>
    <w:rsid w:val="350F7CA7"/>
    <w:rsid w:val="352275ED"/>
    <w:rsid w:val="35622773"/>
    <w:rsid w:val="35810097"/>
    <w:rsid w:val="360C18B4"/>
    <w:rsid w:val="36ED4DFD"/>
    <w:rsid w:val="37E3238B"/>
    <w:rsid w:val="38756A24"/>
    <w:rsid w:val="390F53DB"/>
    <w:rsid w:val="3949339B"/>
    <w:rsid w:val="3A0C352C"/>
    <w:rsid w:val="3A255C37"/>
    <w:rsid w:val="3A4D35FF"/>
    <w:rsid w:val="3B412127"/>
    <w:rsid w:val="3C867C64"/>
    <w:rsid w:val="3C94492D"/>
    <w:rsid w:val="3CF47AC1"/>
    <w:rsid w:val="3D2A35EE"/>
    <w:rsid w:val="3D3B749E"/>
    <w:rsid w:val="3E0D02F7"/>
    <w:rsid w:val="3FE21E53"/>
    <w:rsid w:val="402F2764"/>
    <w:rsid w:val="40664832"/>
    <w:rsid w:val="41AF6593"/>
    <w:rsid w:val="41EE2D31"/>
    <w:rsid w:val="41FF4618"/>
    <w:rsid w:val="42600693"/>
    <w:rsid w:val="42AD162D"/>
    <w:rsid w:val="43601A0D"/>
    <w:rsid w:val="44201EC6"/>
    <w:rsid w:val="450703F9"/>
    <w:rsid w:val="46A0526A"/>
    <w:rsid w:val="489D5230"/>
    <w:rsid w:val="49313F9C"/>
    <w:rsid w:val="493F29DA"/>
    <w:rsid w:val="494F6F67"/>
    <w:rsid w:val="49AC3EEE"/>
    <w:rsid w:val="4AF40687"/>
    <w:rsid w:val="4AFF5F6E"/>
    <w:rsid w:val="4C1658EF"/>
    <w:rsid w:val="4C3A6CE5"/>
    <w:rsid w:val="4D4E2657"/>
    <w:rsid w:val="4DB200F6"/>
    <w:rsid w:val="4DB71C42"/>
    <w:rsid w:val="4DE24BC8"/>
    <w:rsid w:val="4E4B5411"/>
    <w:rsid w:val="4E7116EF"/>
    <w:rsid w:val="4E8149C6"/>
    <w:rsid w:val="504F52E3"/>
    <w:rsid w:val="50903205"/>
    <w:rsid w:val="513B4C91"/>
    <w:rsid w:val="52155E5C"/>
    <w:rsid w:val="52521717"/>
    <w:rsid w:val="53337F35"/>
    <w:rsid w:val="53B837B2"/>
    <w:rsid w:val="540A6A98"/>
    <w:rsid w:val="54D97871"/>
    <w:rsid w:val="550F6525"/>
    <w:rsid w:val="55325E6D"/>
    <w:rsid w:val="55344B73"/>
    <w:rsid w:val="557467B6"/>
    <w:rsid w:val="55FD30EB"/>
    <w:rsid w:val="561A5A4B"/>
    <w:rsid w:val="56B06FAA"/>
    <w:rsid w:val="57234D1D"/>
    <w:rsid w:val="57600CCC"/>
    <w:rsid w:val="57C33EC0"/>
    <w:rsid w:val="57DE40CB"/>
    <w:rsid w:val="58E62E0E"/>
    <w:rsid w:val="593729F7"/>
    <w:rsid w:val="59401C6C"/>
    <w:rsid w:val="59657FA1"/>
    <w:rsid w:val="59A00D0D"/>
    <w:rsid w:val="59DE3A57"/>
    <w:rsid w:val="5A8C0EE1"/>
    <w:rsid w:val="5AB151C0"/>
    <w:rsid w:val="5C0D4457"/>
    <w:rsid w:val="5D50269A"/>
    <w:rsid w:val="5DEC59D2"/>
    <w:rsid w:val="5E2168D9"/>
    <w:rsid w:val="5F2E28C1"/>
    <w:rsid w:val="604865A7"/>
    <w:rsid w:val="60AD7153"/>
    <w:rsid w:val="60D462BC"/>
    <w:rsid w:val="613A1697"/>
    <w:rsid w:val="61C92078"/>
    <w:rsid w:val="6245438B"/>
    <w:rsid w:val="630C7063"/>
    <w:rsid w:val="631A6EAF"/>
    <w:rsid w:val="64272B71"/>
    <w:rsid w:val="64911C85"/>
    <w:rsid w:val="64C15094"/>
    <w:rsid w:val="6502071E"/>
    <w:rsid w:val="652600B4"/>
    <w:rsid w:val="65D4319C"/>
    <w:rsid w:val="663844D9"/>
    <w:rsid w:val="67DE2886"/>
    <w:rsid w:val="680E2932"/>
    <w:rsid w:val="688F5954"/>
    <w:rsid w:val="689E11ED"/>
    <w:rsid w:val="697274F4"/>
    <w:rsid w:val="6B7A6C95"/>
    <w:rsid w:val="6B893287"/>
    <w:rsid w:val="6B8D75DC"/>
    <w:rsid w:val="6B8F50A2"/>
    <w:rsid w:val="6BE421B6"/>
    <w:rsid w:val="6CCB7647"/>
    <w:rsid w:val="6CE251CA"/>
    <w:rsid w:val="6CF92406"/>
    <w:rsid w:val="6EB32A89"/>
    <w:rsid w:val="6F592415"/>
    <w:rsid w:val="707128D4"/>
    <w:rsid w:val="70726C6C"/>
    <w:rsid w:val="714A1482"/>
    <w:rsid w:val="715A543E"/>
    <w:rsid w:val="73154C1E"/>
    <w:rsid w:val="73903399"/>
    <w:rsid w:val="74732A9E"/>
    <w:rsid w:val="748C1D01"/>
    <w:rsid w:val="74A963D9"/>
    <w:rsid w:val="751D68B4"/>
    <w:rsid w:val="76117AD5"/>
    <w:rsid w:val="76241191"/>
    <w:rsid w:val="76990DA1"/>
    <w:rsid w:val="769A4D70"/>
    <w:rsid w:val="779B37B7"/>
    <w:rsid w:val="79525730"/>
    <w:rsid w:val="7995454B"/>
    <w:rsid w:val="7A9F40CB"/>
    <w:rsid w:val="7ACA3634"/>
    <w:rsid w:val="7C1E04A8"/>
    <w:rsid w:val="7C4B71D2"/>
    <w:rsid w:val="7C7E289D"/>
    <w:rsid w:val="7D3104C4"/>
    <w:rsid w:val="7D794BAB"/>
    <w:rsid w:val="7D7C39D0"/>
    <w:rsid w:val="7E265A7B"/>
    <w:rsid w:val="7E4B4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5"/>
    <w:link w:val="2"/>
    <w:semiHidden/>
    <w:qFormat/>
    <w:uiPriority w:val="99"/>
    <w:rPr>
      <w:sz w:val="18"/>
      <w:szCs w:val="18"/>
    </w:rPr>
  </w:style>
  <w:style w:type="paragraph" w:customStyle="1" w:styleId="12">
    <w:name w:val="_Style 3"/>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480904-B2FB-4FE3-894F-42F14B17BC5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30</Pages>
  <Words>9545</Words>
  <Characters>13242</Characters>
  <Lines>69</Lines>
  <Paragraphs>19</Paragraphs>
  <TotalTime>15</TotalTime>
  <ScaleCrop>false</ScaleCrop>
  <LinksUpToDate>false</LinksUpToDate>
  <CharactersWithSpaces>14439</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小陆MM</cp:lastModifiedBy>
  <cp:lastPrinted>2022-09-13T03:31:00Z</cp:lastPrinted>
  <dcterms:modified xsi:type="dcterms:W3CDTF">2023-09-25T08:46:36Z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E33AA46A94F94CDDB1055EADC1CB1AB9</vt:lpwstr>
  </property>
</Properties>
</file>